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19, 2026</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55" w:lineRule="exact"/>
        <w:rPr>
          <w:sz w:val="24"/>
          <w:szCs w:val="24"/>
          <w:color w:val="auto"/>
        </w:rPr>
      </w:pPr>
    </w:p>
    <w:p>
      <w:pPr>
        <w:ind w:left="5520" w:right="3380" w:hanging="5499"/>
        <w:spacing w:after="0" w:line="294" w:lineRule="auto"/>
        <w:tabs>
          <w:tab w:leader="none" w:pos="477"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 OR</w:t>
      </w:r>
    </w:p>
    <w:p>
      <w:pPr>
        <w:spacing w:after="0" w:line="195" w:lineRule="exact"/>
        <w:rPr>
          <w:sz w:val="24"/>
          <w:szCs w:val="24"/>
          <w:color w:val="auto"/>
        </w:rPr>
      </w:pPr>
    </w:p>
    <w:p>
      <w:pPr>
        <w:ind w:left="4340" w:right="4160" w:hanging="4319"/>
        <w:spacing w:after="0" w:line="294" w:lineRule="auto"/>
        <w:tabs>
          <w:tab w:leader="none" w:pos="47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3"/>
          <w:szCs w:val="13"/>
          <w:color w:val="auto"/>
          <w:highlight w:val="black"/>
        </w:rPr>
      </w:pPr>
    </w:p>
    <w:p>
      <w:pPr>
        <w:ind w:left="5520"/>
        <w:spacing w:after="0"/>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OR</w:t>
      </w:r>
    </w:p>
    <w:p>
      <w:pPr>
        <w:spacing w:after="0" w:line="37" w:lineRule="exact"/>
        <w:rPr>
          <w:sz w:val="24"/>
          <w:szCs w:val="24"/>
          <w:color w:val="auto"/>
        </w:rPr>
      </w:pPr>
    </w:p>
    <w:p>
      <w:pPr>
        <w:ind w:left="5520" w:right="3880" w:hanging="5499"/>
        <w:spacing w:after="0" w:line="294" w:lineRule="auto"/>
        <w:tabs>
          <w:tab w:leader="none" w:pos="477" w:val="left"/>
        </w:tabs>
        <w:numPr>
          <w:ilvl w:val="0"/>
          <w:numId w:val="3"/>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 OR</w:t>
      </w:r>
    </w:p>
    <w:p>
      <w:pPr>
        <w:spacing w:after="0" w:line="194" w:lineRule="exact"/>
        <w:rPr>
          <w:rFonts w:ascii="MS PGothic" w:cs="MS PGothic" w:eastAsia="MS PGothic" w:hAnsi="MS PGothic"/>
          <w:sz w:val="13"/>
          <w:szCs w:val="13"/>
          <w:color w:val="auto"/>
          <w:highlight w:val="black"/>
        </w:rPr>
      </w:pPr>
    </w:p>
    <w:p>
      <w:pPr>
        <w:ind w:left="480" w:hanging="459"/>
        <w:spacing w:after="0"/>
        <w:tabs>
          <w:tab w:leader="none" w:pos="480" w:val="left"/>
        </w:tabs>
        <w:numPr>
          <w:ilvl w:val="0"/>
          <w:numId w:val="3"/>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SHELL COMPANY REPORT PURSUANT TO SECTION 13 OR 15(d) OF THE SECURITIES EXCHANGE ACT OF 1934</w:t>
      </w:r>
    </w:p>
    <w:p>
      <w:pPr>
        <w:spacing w:after="0" w:line="5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3"/>
          <w:szCs w:val="13"/>
          <w:b w:val="1"/>
          <w:bCs w:val="1"/>
          <w:color w:val="auto"/>
        </w:rPr>
        <w:t xml:space="preserve">For the transition period from </w:t>
      </w:r>
      <w:r>
        <w:rPr>
          <w:rFonts w:ascii="Times New Roman" w:cs="Times New Roman" w:eastAsia="Times New Roman" w:hAnsi="Times New Roman"/>
          <w:sz w:val="13"/>
          <w:szCs w:val="13"/>
          <w:color w:val="auto"/>
        </w:rPr>
        <w:t>_______________________ to ______________________________</w:t>
      </w:r>
    </w:p>
    <w:p>
      <w:pPr>
        <w:spacing w:after="0" w:line="18" w:lineRule="exact"/>
        <w:rPr>
          <w:sz w:val="24"/>
          <w:szCs w:val="24"/>
          <w:color w:val="auto"/>
        </w:rPr>
      </w:pPr>
    </w:p>
    <w:tbl>
      <w:tblPr>
        <w:tblLayout w:type="fixed"/>
        <w:tblInd w:w="438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Commission File Number</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001-38215</w:t>
            </w:r>
          </w:p>
        </w:tc>
      </w:tr>
    </w:tbl>
    <w:p>
      <w:pPr>
        <w:jc w:val="center"/>
        <w:spacing w:after="0"/>
        <w:rPr>
          <w:sz w:val="20"/>
          <w:szCs w:val="20"/>
          <w:color w:val="auto"/>
        </w:rPr>
      </w:pPr>
      <w:r>
        <w:rPr>
          <w:rFonts w:ascii="Times New Roman" w:cs="Times New Roman" w:eastAsia="Times New Roman" w:hAnsi="Times New Roman"/>
          <w:sz w:val="22"/>
          <w:szCs w:val="22"/>
          <w:b w:val="1"/>
          <w:bCs w:val="1"/>
          <w:color w:val="auto"/>
        </w:rPr>
        <w:t>NUCANA PLC</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England and Wales</w:t>
      </w:r>
    </w:p>
    <w:p>
      <w:pPr>
        <w:spacing w:after="0" w:line="1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1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NuCana plc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 Lochside Way</w:t>
      </w:r>
    </w:p>
    <w:p>
      <w:pPr>
        <w:jc w:val="center"/>
        <w:spacing w:after="0"/>
        <w:rPr>
          <w:sz w:val="20"/>
          <w:szCs w:val="20"/>
          <w:color w:val="auto"/>
        </w:rPr>
      </w:pPr>
      <w:r>
        <w:rPr>
          <w:rFonts w:ascii="Times New Roman" w:cs="Times New Roman" w:eastAsia="Times New Roman" w:hAnsi="Times New Roman"/>
          <w:sz w:val="13"/>
          <w:szCs w:val="13"/>
          <w:b w:val="1"/>
          <w:bCs w:val="1"/>
          <w:color w:val="auto"/>
        </w:rPr>
        <w:t>Edinburgh EH12 9DT</w:t>
      </w:r>
    </w:p>
    <w:p>
      <w:pPr>
        <w:jc w:val="center"/>
        <w:spacing w:after="0"/>
        <w:rPr>
          <w:sz w:val="20"/>
          <w:szCs w:val="20"/>
          <w:color w:val="auto"/>
        </w:rPr>
      </w:pPr>
      <w:r>
        <w:rPr>
          <w:rFonts w:ascii="Times New Roman" w:cs="Times New Roman" w:eastAsia="Times New Roman" w:hAnsi="Times New Roman"/>
          <w:sz w:val="13"/>
          <w:szCs w:val="13"/>
          <w:b w:val="1"/>
          <w:bCs w:val="1"/>
          <w:color w:val="auto"/>
        </w:rPr>
        <w:t>United Kingdom</w:t>
      </w:r>
    </w:p>
    <w:p>
      <w:pPr>
        <w:jc w:val="center"/>
        <w:spacing w:after="0"/>
        <w:rPr>
          <w:sz w:val="20"/>
          <w:szCs w:val="20"/>
          <w:color w:val="auto"/>
        </w:rPr>
      </w:pPr>
      <w:r>
        <w:rPr>
          <w:rFonts w:ascii="Times New Roman" w:cs="Times New Roman" w:eastAsia="Times New Roman" w:hAnsi="Times New Roman"/>
          <w:sz w:val="13"/>
          <w:szCs w:val="13"/>
          <w:b w:val="1"/>
          <w:bCs w:val="1"/>
          <w:color w:val="auto"/>
        </w:rPr>
        <w:t>Telephone: +44 (0)131 357 1111</w:t>
      </w: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Hugh S. Griffith, Chief Executive Officer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NuCana plc</w:t>
      </w:r>
    </w:p>
    <w:p>
      <w:pPr>
        <w:jc w:val="center"/>
        <w:spacing w:after="0"/>
        <w:rPr>
          <w:sz w:val="20"/>
          <w:szCs w:val="20"/>
          <w:color w:val="auto"/>
        </w:rPr>
      </w:pPr>
      <w:r>
        <w:rPr>
          <w:rFonts w:ascii="Times New Roman" w:cs="Times New Roman" w:eastAsia="Times New Roman" w:hAnsi="Times New Roman"/>
          <w:sz w:val="13"/>
          <w:szCs w:val="13"/>
          <w:b w:val="1"/>
          <w:bCs w:val="1"/>
          <w:color w:val="auto"/>
        </w:rPr>
        <w:t>3 Lochside Way</w:t>
      </w:r>
    </w:p>
    <w:p>
      <w:pPr>
        <w:jc w:val="center"/>
        <w:spacing w:after="0"/>
        <w:rPr>
          <w:sz w:val="20"/>
          <w:szCs w:val="20"/>
          <w:color w:val="auto"/>
        </w:rPr>
      </w:pPr>
      <w:r>
        <w:rPr>
          <w:rFonts w:ascii="Times New Roman" w:cs="Times New Roman" w:eastAsia="Times New Roman" w:hAnsi="Times New Roman"/>
          <w:sz w:val="13"/>
          <w:szCs w:val="13"/>
          <w:b w:val="1"/>
          <w:bCs w:val="1"/>
          <w:color w:val="auto"/>
        </w:rPr>
        <w:t>Edinburgh EH12 9DT</w:t>
      </w:r>
    </w:p>
    <w:p>
      <w:pPr>
        <w:jc w:val="center"/>
        <w:spacing w:after="0"/>
        <w:rPr>
          <w:sz w:val="20"/>
          <w:szCs w:val="20"/>
          <w:color w:val="auto"/>
        </w:rPr>
      </w:pPr>
      <w:r>
        <w:rPr>
          <w:rFonts w:ascii="Times New Roman" w:cs="Times New Roman" w:eastAsia="Times New Roman" w:hAnsi="Times New Roman"/>
          <w:sz w:val="13"/>
          <w:szCs w:val="13"/>
          <w:b w:val="1"/>
          <w:bCs w:val="1"/>
          <w:color w:val="auto"/>
        </w:rPr>
        <w:t>United Kingdom</w:t>
      </w:r>
    </w:p>
    <w:p>
      <w:pPr>
        <w:jc w:val="center"/>
        <w:spacing w:after="0"/>
        <w:rPr>
          <w:sz w:val="20"/>
          <w:szCs w:val="20"/>
          <w:color w:val="auto"/>
        </w:rPr>
      </w:pPr>
      <w:r>
        <w:rPr>
          <w:rFonts w:ascii="Times New Roman" w:cs="Times New Roman" w:eastAsia="Times New Roman" w:hAnsi="Times New Roman"/>
          <w:sz w:val="13"/>
          <w:szCs w:val="13"/>
          <w:b w:val="1"/>
          <w:bCs w:val="1"/>
          <w:color w:val="auto"/>
        </w:rPr>
        <w:t>Telephone: +44 (0)131 357 1111</w:t>
      </w:r>
    </w:p>
    <w:p>
      <w:pPr>
        <w:jc w:val="center"/>
        <w:spacing w:after="0"/>
        <w:rPr>
          <w:sz w:val="20"/>
          <w:szCs w:val="20"/>
          <w:color w:val="auto"/>
        </w:rPr>
      </w:pPr>
      <w:r>
        <w:rPr>
          <w:rFonts w:ascii="Times New Roman" w:cs="Times New Roman" w:eastAsia="Times New Roman" w:hAnsi="Times New Roman"/>
          <w:sz w:val="13"/>
          <w:szCs w:val="13"/>
          <w:b w:val="1"/>
          <w:bCs w:val="1"/>
          <w:color w:val="auto"/>
        </w:rPr>
        <w:t>Email: info@nucana.com</w:t>
      </w:r>
    </w:p>
    <w:p>
      <w:pPr>
        <w:jc w:val="center"/>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4"/>
                <w:szCs w:val="14"/>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4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29"/>
        </w:trPr>
        <w:tc>
          <w:tcPr>
            <w:tcW w:w="35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American Depositary Shares, each representing five thousand</w:t>
            </w:r>
          </w:p>
        </w:tc>
        <w:tc>
          <w:tcPr>
            <w:tcW w:w="120" w:type="dxa"/>
            <w:vAlign w:val="bottom"/>
          </w:tcPr>
          <w:p>
            <w:pPr>
              <w:spacing w:after="0"/>
              <w:rPr>
                <w:sz w:val="11"/>
                <w:szCs w:val="11"/>
                <w:color w:val="auto"/>
              </w:rPr>
            </w:pPr>
          </w:p>
        </w:tc>
        <w:tc>
          <w:tcPr>
            <w:tcW w:w="3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NCNA</w:t>
            </w:r>
          </w:p>
        </w:tc>
        <w:tc>
          <w:tcPr>
            <w:tcW w:w="240" w:type="dxa"/>
            <w:vAlign w:val="bottom"/>
          </w:tcPr>
          <w:p>
            <w:pPr>
              <w:spacing w:after="0"/>
              <w:rPr>
                <w:sz w:val="11"/>
                <w:szCs w:val="11"/>
                <w:color w:val="auto"/>
              </w:rPr>
            </w:pPr>
          </w:p>
        </w:tc>
        <w:tc>
          <w:tcPr>
            <w:tcW w:w="3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74"/>
        </w:trPr>
        <w:tc>
          <w:tcPr>
            <w:tcW w:w="3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Shares, nominal value £0.0004 per share</w:t>
            </w:r>
          </w:p>
        </w:tc>
        <w:tc>
          <w:tcPr>
            <w:tcW w:w="1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20" w:type="dxa"/>
            <w:vAlign w:val="bottom"/>
          </w:tcPr>
          <w:p>
            <w:pPr>
              <w:spacing w:after="0"/>
              <w:rPr>
                <w:sz w:val="15"/>
                <w:szCs w:val="15"/>
                <w:color w:val="auto"/>
              </w:rPr>
            </w:pPr>
          </w:p>
        </w:tc>
      </w:tr>
    </w:tbl>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Securities registered or to be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Securities for which there is a reporting obligation pursuant to Section 15(d) of the Act: </w:t>
      </w:r>
      <w:r>
        <w:rPr>
          <w:rFonts w:ascii="Times New Roman" w:cs="Times New Roman" w:eastAsia="Times New Roman" w:hAnsi="Times New Roman"/>
          <w:sz w:val="13"/>
          <w:szCs w:val="13"/>
          <w:b w:val="1"/>
          <w:bCs w:val="1"/>
          <w:color w:val="auto"/>
        </w:rPr>
        <w:t>None</w:t>
      </w:r>
    </w:p>
    <w:p>
      <w:pPr>
        <w:spacing w:after="0" w:line="41" w:lineRule="exact"/>
        <w:rPr>
          <w:sz w:val="24"/>
          <w:szCs w:val="24"/>
          <w:color w:val="auto"/>
        </w:rPr>
      </w:pPr>
    </w:p>
    <w:p>
      <w:pPr>
        <w:ind w:right="200" w:firstLine="509"/>
        <w:spacing w:after="0" w:line="259" w:lineRule="auto"/>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 20,809,854,947 ordinary shares, par value £0.0004 per share.</w:t>
      </w:r>
    </w:p>
    <w:p>
      <w:pPr>
        <w:ind w:left="520"/>
        <w:spacing w:after="0" w:line="150" w:lineRule="exact"/>
        <w:tabs>
          <w:tab w:leader="none" w:pos="740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49" w:lineRule="exact"/>
        <w:rPr>
          <w:sz w:val="24"/>
          <w:szCs w:val="24"/>
          <w:color w:val="auto"/>
        </w:rPr>
      </w:pPr>
    </w:p>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8" w:lineRule="exact"/>
        <w:rPr>
          <w:sz w:val="24"/>
          <w:szCs w:val="24"/>
          <w:color w:val="auto"/>
        </w:rPr>
      </w:pPr>
    </w:p>
    <w:p>
      <w:pPr>
        <w:ind w:right="10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6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40" w:firstLine="509"/>
        <w:spacing w:after="0" w:line="25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71" w:right="339" w:bottom="1440" w:gutter="0" w:footer="0" w:header="0"/>
        </w:sectPr>
      </w:pPr>
    </w:p>
    <w:p>
      <w:pPr>
        <w:ind w:left="114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1740"/>
        <w:spacing w:after="0" w:line="13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1000"/>
        <w:spacing w:after="0" w:line="13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8" w:lineRule="exact"/>
        <w:rPr>
          <w:sz w:val="24"/>
          <w:szCs w:val="24"/>
          <w:color w:val="auto"/>
        </w:rPr>
      </w:pPr>
    </w:p>
    <w:p>
      <w:pPr>
        <w:jc w:val="center"/>
        <w:ind w:right="100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3">
            <w:col w:w="4380" w:space="720"/>
            <w:col w:w="2800" w:space="720"/>
            <w:col w:w="2620"/>
          </w:cols>
          <w:pgMar w:left="320" w:top="871" w:right="339" w:bottom="1440" w:gutter="0" w:footer="0" w:header="0"/>
          <w:type w:val="continuous"/>
        </w:sectPr>
      </w:pPr>
    </w:p>
    <w:p>
      <w:pPr>
        <w:ind w:right="6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520" w:right="220" w:hanging="3"/>
        <w:spacing w:after="0" w:line="261" w:lineRule="auto"/>
        <w:tabs>
          <w:tab w:leader="none" w:pos="62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8" w:lineRule="exact"/>
        <w:rPr>
          <w:sz w:val="24"/>
          <w:szCs w:val="24"/>
          <w:color w:val="auto"/>
        </w:rPr>
      </w:pPr>
    </w:p>
    <w:p>
      <w:pPr>
        <w:ind w:right="30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44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ind w:left="88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tc>
        <w:tc>
          <w:tcPr>
            <w:tcW w:w="6460" w:type="dxa"/>
            <w:vAlign w:val="bottom"/>
          </w:tcPr>
          <w:p>
            <w:pPr>
              <w:jc w:val="center"/>
              <w:ind w:right="1033"/>
              <w:spacing w:after="0"/>
              <w:rPr>
                <w:sz w:val="20"/>
                <w:szCs w:val="20"/>
                <w:color w:val="auto"/>
              </w:rPr>
            </w:pPr>
            <w:r>
              <w:rPr>
                <w:rFonts w:ascii="Times New Roman" w:cs="Times New Roman" w:eastAsia="Times New Roman" w:hAnsi="Times New Roman"/>
                <w:sz w:val="13"/>
                <w:szCs w:val="13"/>
                <w:color w:val="auto"/>
              </w:rPr>
              <w:t>International Financial Reporting Standards as issued</w:t>
            </w:r>
          </w:p>
        </w:tc>
        <w:tc>
          <w:tcPr>
            <w:tcW w:w="1820" w:type="dxa"/>
            <w:vAlign w:val="bottom"/>
          </w:tcPr>
          <w:p>
            <w:pPr>
              <w:ind w:left="280"/>
              <w:spacing w:after="0" w:line="150" w:lineRule="exact"/>
              <w:rPr>
                <w:sz w:val="20"/>
                <w:szCs w:val="20"/>
                <w:color w:val="auto"/>
              </w:rPr>
            </w:pP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6460" w:type="dxa"/>
            <w:vAlign w:val="bottom"/>
          </w:tcPr>
          <w:p>
            <w:pPr>
              <w:jc w:val="center"/>
              <w:ind w:right="1033"/>
              <w:spacing w:after="0" w:line="150" w:lineRule="exact"/>
              <w:rPr>
                <w:sz w:val="20"/>
                <w:szCs w:val="20"/>
                <w:color w:val="auto"/>
              </w:rPr>
            </w:pPr>
            <w:r>
              <w:rPr>
                <w:rFonts w:ascii="Times New Roman" w:cs="Times New Roman" w:eastAsia="Times New Roman" w:hAnsi="Times New Roman"/>
                <w:sz w:val="13"/>
                <w:szCs w:val="13"/>
                <w:color w:val="auto"/>
              </w:rPr>
              <w:t xml:space="preserve">by the International Accounting Standards Board </w:t>
            </w:r>
            <w:r>
              <w:rPr>
                <w:rFonts w:ascii="MS PGothic" w:cs="MS PGothic" w:eastAsia="MS PGothic" w:hAnsi="MS PGothic"/>
                <w:sz w:val="13"/>
                <w:szCs w:val="13"/>
                <w:color w:val="auto"/>
              </w:rPr>
              <w:t>☒</w:t>
            </w:r>
          </w:p>
        </w:tc>
        <w:tc>
          <w:tcPr>
            <w:tcW w:w="1820" w:type="dxa"/>
            <w:vAlign w:val="bottom"/>
            <w:vMerge w:val="restart"/>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48"/>
        </w:trPr>
        <w:tc>
          <w:tcPr>
            <w:tcW w:w="9420" w:type="dxa"/>
            <w:vAlign w:val="bottom"/>
            <w:gridSpan w:val="2"/>
          </w:tcPr>
          <w:p>
            <w:pPr>
              <w:ind w:left="520"/>
              <w:spacing w:after="0" w:line="148" w:lineRule="exact"/>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 Item 17</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20" w:type="dxa"/>
            <w:vAlign w:val="bottom"/>
            <w:gridSpan w:val="2"/>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18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034"/>
        </w:trPr>
        <w:tc>
          <w:tcPr>
            <w:tcW w:w="296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91"/>
        </w:trPr>
        <w:tc>
          <w:tcPr>
            <w:tcW w:w="2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GENERAL INFORMATION</w:t>
            </w:r>
          </w:p>
        </w:tc>
        <w:tc>
          <w:tcPr>
            <w:tcW w:w="8260" w:type="dxa"/>
            <w:vAlign w:val="bottom"/>
            <w:gridSpan w:val="3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PRESENTATION OF FINANCIAL AND OTHER DATA</w:t>
            </w:r>
          </w:p>
        </w:tc>
        <w:tc>
          <w:tcPr>
            <w:tcW w:w="608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105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INFORMATION REGARDING FORWARD-LOOKING STATEMENTS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572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WEBSITE DISCLOSURE</w:t>
            </w:r>
          </w:p>
        </w:tc>
        <w:tc>
          <w:tcPr>
            <w:tcW w:w="48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2880" w:type="dxa"/>
            <w:vAlign w:val="bottom"/>
            <w:tcBorders>
              <w:top w:val="single" w:sz="8" w:color="0000EE"/>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1120" w:type="dxa"/>
            <w:vAlign w:val="bottom"/>
            <w:tcBorders>
              <w:top w:val="single" w:sz="8" w:color="0000EE"/>
            </w:tcBorders>
            <w:gridSpan w:val="8"/>
          </w:tcPr>
          <w:p>
            <w:pPr>
              <w:spacing w:after="0"/>
              <w:rPr>
                <w:sz w:val="17"/>
                <w:szCs w:val="17"/>
                <w:color w:val="auto"/>
              </w:rPr>
            </w:pPr>
          </w:p>
        </w:tc>
        <w:tc>
          <w:tcPr>
            <w:tcW w:w="508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12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80" w:type="dxa"/>
            <w:vAlign w:val="bottom"/>
            <w:gridSpan w:val="3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B.</w:t>
            </w: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3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8"/>
              </w:rPr>
              <w:t>Capitalization and Indebtedness</w:t>
            </w:r>
          </w:p>
        </w:tc>
        <w:tc>
          <w:tcPr>
            <w:tcW w:w="67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30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w w:val="99"/>
              </w:rPr>
              <w:t>Reasons for the Offer and Use of Proceeds</w:t>
            </w:r>
          </w:p>
        </w:tc>
        <w:tc>
          <w:tcPr>
            <w:tcW w:w="600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D.</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vMerge w:val="continue"/>
          </w:tcPr>
          <w:p>
            <w:pPr>
              <w:spacing w:after="0"/>
              <w:rPr>
                <w:sz w:val="17"/>
                <w:szCs w:val="17"/>
                <w:color w:val="auto"/>
              </w:rPr>
            </w:pPr>
          </w:p>
        </w:tc>
        <w:tc>
          <w:tcPr>
            <w:tcW w:w="21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on the Company</w:t>
            </w:r>
          </w:p>
        </w:tc>
        <w:tc>
          <w:tcPr>
            <w:tcW w:w="6980" w:type="dxa"/>
            <w:vAlign w:val="bottom"/>
            <w:gridSpan w:val="1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History and Development of the Company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B.</w:t>
            </w:r>
          </w:p>
        </w:tc>
        <w:tc>
          <w:tcPr>
            <w:tcW w:w="6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420" w:type="dxa"/>
            <w:vAlign w:val="bottom"/>
            <w:tcBorders>
              <w:top w:val="single" w:sz="8" w:color="0000EE"/>
            </w:tcBorders>
            <w:gridSpan w:val="28"/>
          </w:tcPr>
          <w:p>
            <w:pPr>
              <w:spacing w:after="0"/>
              <w:rPr>
                <w:sz w:val="17"/>
                <w:szCs w:val="17"/>
                <w:color w:val="auto"/>
              </w:rPr>
            </w:pPr>
          </w:p>
        </w:tc>
        <w:tc>
          <w:tcPr>
            <w:tcW w:w="602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1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Organizational Structure</w:t>
            </w:r>
          </w:p>
        </w:tc>
        <w:tc>
          <w:tcPr>
            <w:tcW w:w="730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D.</w:t>
            </w:r>
          </w:p>
        </w:tc>
        <w:tc>
          <w:tcPr>
            <w:tcW w:w="22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Property, Plant and Equipment</w:t>
            </w:r>
          </w:p>
        </w:tc>
        <w:tc>
          <w:tcPr>
            <w:tcW w:w="686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4A.</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vMerge w:val="continue"/>
          </w:tcPr>
          <w:p>
            <w:pPr>
              <w:spacing w:after="0"/>
              <w:rPr>
                <w:sz w:val="17"/>
                <w:szCs w:val="17"/>
                <w:color w:val="auto"/>
              </w:rPr>
            </w:pPr>
          </w:p>
        </w:tc>
        <w:tc>
          <w:tcPr>
            <w:tcW w:w="33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w w:val="99"/>
              </w:rPr>
              <w:t>Operating and Financial Review and Prospects</w:t>
            </w:r>
          </w:p>
        </w:tc>
        <w:tc>
          <w:tcPr>
            <w:tcW w:w="570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13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Operating Results</w:t>
            </w:r>
          </w:p>
        </w:tc>
        <w:tc>
          <w:tcPr>
            <w:tcW w:w="7780" w:type="dxa"/>
            <w:vAlign w:val="bottom"/>
            <w:gridSpan w:val="2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B.</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w:t>
            </w: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92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FF"/>
                <w:w w:val="99"/>
              </w:rPr>
              <w:t>Research and Development, Patents and Licenses, etc.</w:t>
            </w:r>
          </w:p>
        </w:tc>
        <w:tc>
          <w:tcPr>
            <w:tcW w:w="516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D.</w:t>
            </w:r>
          </w:p>
        </w:tc>
        <w:tc>
          <w:tcPr>
            <w:tcW w:w="20" w:type="dxa"/>
            <w:vAlign w:val="bottom"/>
          </w:tcPr>
          <w:p>
            <w:pPr>
              <w:spacing w:after="0"/>
              <w:rPr>
                <w:sz w:val="17"/>
                <w:szCs w:val="17"/>
                <w:color w:val="auto"/>
              </w:rPr>
            </w:pPr>
          </w:p>
        </w:tc>
        <w:tc>
          <w:tcPr>
            <w:tcW w:w="90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Trend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E.</w:t>
            </w: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Critical Accounting Estimates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F.</w:t>
            </w:r>
          </w:p>
        </w:tc>
        <w:tc>
          <w:tcPr>
            <w:tcW w:w="20" w:type="dxa"/>
            <w:vAlign w:val="bottom"/>
            <w:tcBorders>
              <w:top w:val="single" w:sz="8" w:color="0000EE"/>
              <w:bottom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1340" w:type="dxa"/>
            <w:vAlign w:val="bottom"/>
            <w:tcBorders>
              <w:top w:val="single" w:sz="8" w:color="0000EE"/>
            </w:tcBorders>
            <w:gridSpan w:val="18"/>
          </w:tcPr>
          <w:p>
            <w:pPr>
              <w:spacing w:after="0"/>
              <w:rPr>
                <w:sz w:val="17"/>
                <w:szCs w:val="17"/>
                <w:color w:val="auto"/>
              </w:rPr>
            </w:pPr>
          </w:p>
        </w:tc>
        <w:tc>
          <w:tcPr>
            <w:tcW w:w="692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G.</w:t>
            </w:r>
          </w:p>
        </w:tc>
        <w:tc>
          <w:tcPr>
            <w:tcW w:w="20" w:type="dxa"/>
            <w:vAlign w:val="bottom"/>
          </w:tcPr>
          <w:p>
            <w:pPr>
              <w:spacing w:after="0"/>
              <w:rPr>
                <w:sz w:val="17"/>
                <w:szCs w:val="17"/>
                <w:color w:val="auto"/>
              </w:rPr>
            </w:pPr>
          </w:p>
        </w:tc>
        <w:tc>
          <w:tcPr>
            <w:tcW w:w="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8260" w:type="dxa"/>
            <w:vAlign w:val="bottom"/>
            <w:gridSpan w:val="3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H.</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Non-GAAP Financial Measures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vMerge w:val="continue"/>
          </w:tcPr>
          <w:p>
            <w:pPr>
              <w:spacing w:after="0"/>
              <w:rPr>
                <w:sz w:val="17"/>
                <w:szCs w:val="17"/>
                <w:color w:val="auto"/>
              </w:rPr>
            </w:pP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and Senior Management</w:t>
            </w:r>
          </w:p>
        </w:tc>
        <w:tc>
          <w:tcPr>
            <w:tcW w:w="880" w:type="dxa"/>
            <w:vAlign w:val="bottom"/>
            <w:tcBorders>
              <w:top w:val="single" w:sz="8" w:color="0000EE"/>
            </w:tcBorders>
            <w:gridSpan w:val="5"/>
          </w:tcPr>
          <w:p>
            <w:pPr>
              <w:spacing w:after="0"/>
              <w:rPr>
                <w:sz w:val="17"/>
                <w:szCs w:val="17"/>
                <w:color w:val="auto"/>
              </w:rPr>
            </w:pPr>
          </w:p>
        </w:tc>
        <w:tc>
          <w:tcPr>
            <w:tcW w:w="572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B.</w:t>
            </w:r>
          </w:p>
        </w:tc>
        <w:tc>
          <w:tcPr>
            <w:tcW w:w="1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Compensation</w:t>
            </w:r>
          </w:p>
        </w:tc>
        <w:tc>
          <w:tcPr>
            <w:tcW w:w="8040" w:type="dxa"/>
            <w:vAlign w:val="bottom"/>
            <w:gridSpan w:val="3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11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Board Practices</w:t>
            </w:r>
          </w:p>
        </w:tc>
        <w:tc>
          <w:tcPr>
            <w:tcW w:w="7940" w:type="dxa"/>
            <w:vAlign w:val="bottom"/>
            <w:gridSpan w:val="3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D.</w:t>
            </w:r>
          </w:p>
        </w:tc>
        <w:tc>
          <w:tcPr>
            <w:tcW w:w="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7"/>
              </w:rPr>
              <w:t>Employees</w:t>
            </w:r>
          </w:p>
        </w:tc>
        <w:tc>
          <w:tcPr>
            <w:tcW w:w="8280" w:type="dxa"/>
            <w:vAlign w:val="bottom"/>
            <w:gridSpan w:val="3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E.</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Share Ownership</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F.</w:t>
            </w: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6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of a Registrant's Action to Recover Erroneously Awarded Compensation</w:t>
            </w:r>
          </w:p>
        </w:tc>
        <w:tc>
          <w:tcPr>
            <w:tcW w:w="30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7.</w:t>
            </w:r>
          </w:p>
        </w:tc>
        <w:tc>
          <w:tcPr>
            <w:tcW w:w="372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FF"/>
                <w:w w:val="99"/>
              </w:rPr>
              <w:t>Major Shareholders and Related Party Transactions</w:t>
            </w:r>
          </w:p>
        </w:tc>
        <w:tc>
          <w:tcPr>
            <w:tcW w:w="53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B.</w:t>
            </w: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9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8"/>
              </w:rPr>
              <w:t>Related Party Transactions</w:t>
            </w:r>
          </w:p>
        </w:tc>
        <w:tc>
          <w:tcPr>
            <w:tcW w:w="714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23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Interests of Experts and Counsel</w:t>
            </w:r>
          </w:p>
        </w:tc>
        <w:tc>
          <w:tcPr>
            <w:tcW w:w="67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8.</w:t>
            </w:r>
          </w:p>
        </w:tc>
        <w:tc>
          <w:tcPr>
            <w:tcW w:w="1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750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and Other Financial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B.</w:t>
            </w:r>
          </w:p>
        </w:tc>
        <w:tc>
          <w:tcPr>
            <w:tcW w:w="14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8"/>
              </w:rPr>
              <w:t>Significant Changes</w:t>
            </w:r>
          </w:p>
        </w:tc>
        <w:tc>
          <w:tcPr>
            <w:tcW w:w="2700" w:type="dxa"/>
            <w:vAlign w:val="bottom"/>
            <w:tcBorders>
              <w:top w:val="single" w:sz="8" w:color="0000EE"/>
            </w:tcBorders>
            <w:gridSpan w:val="23"/>
          </w:tcPr>
          <w:p>
            <w:pPr>
              <w:spacing w:after="0"/>
              <w:rPr>
                <w:sz w:val="17"/>
                <w:szCs w:val="17"/>
                <w:color w:val="auto"/>
              </w:rPr>
            </w:pPr>
          </w:p>
        </w:tc>
        <w:tc>
          <w:tcPr>
            <w:tcW w:w="49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9.</w:t>
            </w:r>
          </w:p>
        </w:tc>
        <w:tc>
          <w:tcPr>
            <w:tcW w:w="1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The Offer and Listing</w:t>
            </w:r>
          </w:p>
        </w:tc>
        <w:tc>
          <w:tcPr>
            <w:tcW w:w="750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90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Offer and Listing Details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B.</w:t>
            </w:r>
          </w:p>
        </w:tc>
        <w:tc>
          <w:tcPr>
            <w:tcW w:w="18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728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14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Markets</w:t>
            </w:r>
          </w:p>
        </w:tc>
        <w:tc>
          <w:tcPr>
            <w:tcW w:w="7660" w:type="dxa"/>
            <w:vAlign w:val="bottom"/>
            <w:gridSpan w:val="2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w:t>
            </w: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20" w:type="dxa"/>
            <w:vAlign w:val="bottom"/>
            <w:gridSpan w:val="2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5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8"/>
              </w:rPr>
              <w:t>Selling Shareholders</w:t>
            </w:r>
          </w:p>
        </w:tc>
        <w:tc>
          <w:tcPr>
            <w:tcW w:w="7580" w:type="dxa"/>
            <w:vAlign w:val="bottom"/>
            <w:gridSpan w:val="2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E.</w:t>
            </w: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Dilution</w:t>
            </w:r>
          </w:p>
        </w:tc>
        <w:tc>
          <w:tcPr>
            <w:tcW w:w="8480" w:type="dxa"/>
            <w:vAlign w:val="bottom"/>
            <w:gridSpan w:val="3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F.</w:t>
            </w:r>
          </w:p>
        </w:tc>
        <w:tc>
          <w:tcPr>
            <w:tcW w:w="15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Expenses of the Issue</w:t>
            </w:r>
          </w:p>
        </w:tc>
        <w:tc>
          <w:tcPr>
            <w:tcW w:w="7520" w:type="dxa"/>
            <w:vAlign w:val="bottom"/>
            <w:gridSpan w:val="2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color w:val="auto"/>
              </w:rPr>
              <w:t>(continued)</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6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Additional Information</w:t>
            </w:r>
          </w:p>
        </w:tc>
        <w:tc>
          <w:tcPr>
            <w:tcW w:w="5800" w:type="dxa"/>
            <w:vAlign w:val="bottom"/>
            <w:gridSpan w:val="18"/>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9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Share Capital</w:t>
            </w:r>
          </w:p>
        </w:tc>
        <w:tc>
          <w:tcPr>
            <w:tcW w:w="6500" w:type="dxa"/>
            <w:vAlign w:val="bottom"/>
            <w:gridSpan w:val="3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B.</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Memorandum and Articles of Association</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30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Material Contracts</w:t>
            </w:r>
          </w:p>
        </w:tc>
        <w:tc>
          <w:tcPr>
            <w:tcW w:w="4460" w:type="dxa"/>
            <w:vAlign w:val="bottom"/>
            <w:gridSpan w:val="11"/>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w:t>
            </w:r>
          </w:p>
        </w:tc>
        <w:tc>
          <w:tcPr>
            <w:tcW w:w="6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Controls</w:t>
            </w:r>
          </w:p>
        </w:tc>
        <w:tc>
          <w:tcPr>
            <w:tcW w:w="6100" w:type="dxa"/>
            <w:vAlign w:val="bottom"/>
            <w:gridSpan w:val="2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E.</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Taxation</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w:t>
            </w:r>
          </w:p>
        </w:tc>
        <w:tc>
          <w:tcPr>
            <w:tcW w:w="6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Dividends and Paying Agents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G.</w:t>
            </w:r>
          </w:p>
        </w:tc>
        <w:tc>
          <w:tcPr>
            <w:tcW w:w="15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Statement by Experts</w:t>
            </w:r>
          </w:p>
        </w:tc>
        <w:tc>
          <w:tcPr>
            <w:tcW w:w="600" w:type="dxa"/>
            <w:vAlign w:val="bottom"/>
            <w:tcBorders>
              <w:top w:val="single" w:sz="8" w:color="0000EE"/>
            </w:tcBorders>
            <w:gridSpan w:val="7"/>
          </w:tcPr>
          <w:p>
            <w:pPr>
              <w:spacing w:after="0"/>
              <w:rPr>
                <w:sz w:val="17"/>
                <w:szCs w:val="17"/>
                <w:color w:val="auto"/>
              </w:rPr>
            </w:pPr>
          </w:p>
        </w:tc>
        <w:tc>
          <w:tcPr>
            <w:tcW w:w="5340" w:type="dxa"/>
            <w:vAlign w:val="bottom"/>
            <w:gridSpan w:val="1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H.</w:t>
            </w:r>
          </w:p>
        </w:tc>
        <w:tc>
          <w:tcPr>
            <w:tcW w:w="16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Documents on Display</w:t>
            </w:r>
          </w:p>
        </w:tc>
        <w:tc>
          <w:tcPr>
            <w:tcW w:w="5820" w:type="dxa"/>
            <w:vAlign w:val="bottom"/>
            <w:gridSpan w:val="1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I.</w:t>
            </w:r>
          </w:p>
        </w:tc>
        <w:tc>
          <w:tcPr>
            <w:tcW w:w="16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Subsidiary Information</w:t>
            </w:r>
          </w:p>
        </w:tc>
        <w:tc>
          <w:tcPr>
            <w:tcW w:w="5800" w:type="dxa"/>
            <w:vAlign w:val="bottom"/>
            <w:gridSpan w:val="1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43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120" w:type="dxa"/>
            <w:vAlign w:val="bottom"/>
            <w:gridSpan w:val="7"/>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38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Other than Equity Securities</w:t>
            </w:r>
          </w:p>
        </w:tc>
        <w:tc>
          <w:tcPr>
            <w:tcW w:w="3600" w:type="dxa"/>
            <w:vAlign w:val="bottom"/>
            <w:gridSpan w:val="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Debt Securities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B.</w:t>
            </w:r>
          </w:p>
        </w:tc>
        <w:tc>
          <w:tcPr>
            <w:tcW w:w="6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Warrants and Rights</w:t>
            </w:r>
          </w:p>
        </w:tc>
        <w:tc>
          <w:tcPr>
            <w:tcW w:w="6000" w:type="dxa"/>
            <w:vAlign w:val="bottom"/>
            <w:gridSpan w:val="2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Other Securities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w:t>
            </w:r>
          </w:p>
        </w:tc>
        <w:tc>
          <w:tcPr>
            <w:tcW w:w="6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American Depositary Shares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6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920" w:type="dxa"/>
            <w:vAlign w:val="bottom"/>
            <w:gridSpan w:val="2"/>
          </w:tcPr>
          <w:p>
            <w:pPr>
              <w:spacing w:after="0"/>
              <w:rPr>
                <w:sz w:val="17"/>
                <w:szCs w:val="17"/>
                <w:color w:val="auto"/>
              </w:rPr>
            </w:pPr>
          </w:p>
        </w:tc>
        <w:tc>
          <w:tcPr>
            <w:tcW w:w="36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Dividend Arrearages and Delinquencies</w:t>
            </w:r>
          </w:p>
        </w:tc>
        <w:tc>
          <w:tcPr>
            <w:tcW w:w="3880" w:type="dxa"/>
            <w:vAlign w:val="bottom"/>
            <w:gridSpan w:val="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560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A.</w:t>
            </w:r>
          </w:p>
        </w:tc>
        <w:tc>
          <w:tcPr>
            <w:tcW w:w="6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Disclosure Controls and Procedures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B.</w:t>
            </w:r>
          </w:p>
        </w:tc>
        <w:tc>
          <w:tcPr>
            <w:tcW w:w="6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Management’s Annual Report on Internal Control over Financial Reporting</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C.</w:t>
            </w:r>
          </w:p>
        </w:tc>
        <w:tc>
          <w:tcPr>
            <w:tcW w:w="544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Attestation Report of the Registered Public Accounting Firm</w:t>
            </w:r>
          </w:p>
        </w:tc>
        <w:tc>
          <w:tcPr>
            <w:tcW w:w="2040" w:type="dxa"/>
            <w:vAlign w:val="bottom"/>
            <w:gridSpan w:val="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D.</w:t>
            </w:r>
          </w:p>
        </w:tc>
        <w:tc>
          <w:tcPr>
            <w:tcW w:w="43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Changes in Internal Control Over Financial Reporting</w:t>
            </w:r>
          </w:p>
        </w:tc>
        <w:tc>
          <w:tcPr>
            <w:tcW w:w="3100" w:type="dxa"/>
            <w:vAlign w:val="bottom"/>
            <w:gridSpan w:val="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16A.</w:t>
            </w:r>
          </w:p>
        </w:tc>
        <w:tc>
          <w:tcPr>
            <w:tcW w:w="25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Audit Committee Financial Expert</w:t>
            </w:r>
          </w:p>
        </w:tc>
        <w:tc>
          <w:tcPr>
            <w:tcW w:w="1380" w:type="dxa"/>
            <w:vAlign w:val="bottom"/>
            <w:tcBorders>
              <w:top w:val="single" w:sz="8" w:color="0000EE"/>
            </w:tcBorders>
            <w:gridSpan w:val="6"/>
          </w:tcPr>
          <w:p>
            <w:pPr>
              <w:spacing w:after="0"/>
              <w:rPr>
                <w:sz w:val="17"/>
                <w:szCs w:val="17"/>
                <w:color w:val="auto"/>
              </w:rPr>
            </w:pPr>
          </w:p>
        </w:tc>
        <w:tc>
          <w:tcPr>
            <w:tcW w:w="3600" w:type="dxa"/>
            <w:vAlign w:val="bottom"/>
            <w:gridSpan w:val="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16B.</w:t>
            </w:r>
          </w:p>
        </w:tc>
        <w:tc>
          <w:tcPr>
            <w:tcW w:w="1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Code of Ethics</w:t>
            </w:r>
          </w:p>
        </w:tc>
        <w:tc>
          <w:tcPr>
            <w:tcW w:w="6380" w:type="dxa"/>
            <w:vAlign w:val="bottom"/>
            <w:gridSpan w:val="2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16C.</w:t>
            </w:r>
          </w:p>
        </w:tc>
        <w:tc>
          <w:tcPr>
            <w:tcW w:w="28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4620" w:type="dxa"/>
            <w:vAlign w:val="bottom"/>
            <w:gridSpan w:val="1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16D.</w:t>
            </w:r>
          </w:p>
        </w:tc>
        <w:tc>
          <w:tcPr>
            <w:tcW w:w="45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Exemptions From the Listing Standards For Audit Committees</w:t>
            </w:r>
          </w:p>
        </w:tc>
        <w:tc>
          <w:tcPr>
            <w:tcW w:w="2940" w:type="dxa"/>
            <w:vAlign w:val="bottom"/>
            <w:gridSpan w:val="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16E.</w:t>
            </w:r>
          </w:p>
        </w:tc>
        <w:tc>
          <w:tcPr>
            <w:tcW w:w="50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Purchases of Equity Securities by the Issuer and Affiliated Purchasers</w:t>
            </w:r>
          </w:p>
        </w:tc>
        <w:tc>
          <w:tcPr>
            <w:tcW w:w="2440" w:type="dxa"/>
            <w:vAlign w:val="bottom"/>
            <w:gridSpan w:val="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16F.</w:t>
            </w:r>
          </w:p>
        </w:tc>
        <w:tc>
          <w:tcPr>
            <w:tcW w:w="35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 in the Registrant’s Certifying Accountant</w:t>
            </w:r>
          </w:p>
        </w:tc>
        <w:tc>
          <w:tcPr>
            <w:tcW w:w="3900" w:type="dxa"/>
            <w:vAlign w:val="bottom"/>
            <w:gridSpan w:val="1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16G.</w:t>
            </w:r>
          </w:p>
        </w:tc>
        <w:tc>
          <w:tcPr>
            <w:tcW w:w="16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5840" w:type="dxa"/>
            <w:vAlign w:val="bottom"/>
            <w:gridSpan w:val="2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16H.</w:t>
            </w:r>
          </w:p>
        </w:tc>
        <w:tc>
          <w:tcPr>
            <w:tcW w:w="1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5720" w:type="dxa"/>
            <w:vAlign w:val="bottom"/>
            <w:gridSpan w:val="17"/>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16I.</w:t>
            </w:r>
          </w:p>
        </w:tc>
        <w:tc>
          <w:tcPr>
            <w:tcW w:w="49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80" w:type="dxa"/>
            <w:vAlign w:val="bottom"/>
            <w:gridSpan w:val="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16J.</w:t>
            </w:r>
          </w:p>
        </w:tc>
        <w:tc>
          <w:tcPr>
            <w:tcW w:w="16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Insider Trading Policy</w:t>
            </w:r>
          </w:p>
        </w:tc>
        <w:tc>
          <w:tcPr>
            <w:tcW w:w="5860" w:type="dxa"/>
            <w:vAlign w:val="bottom"/>
            <w:gridSpan w:val="21"/>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16K.</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8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17</w:t>
            </w:r>
          </w:p>
        </w:tc>
        <w:tc>
          <w:tcPr>
            <w:tcW w:w="1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5960" w:type="dxa"/>
            <w:vAlign w:val="bottom"/>
            <w:gridSpan w:val="2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18</w:t>
            </w:r>
          </w:p>
        </w:tc>
        <w:tc>
          <w:tcPr>
            <w:tcW w:w="74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1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19</w:t>
            </w:r>
          </w:p>
        </w:tc>
        <w:tc>
          <w:tcPr>
            <w:tcW w:w="15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980" w:type="dxa"/>
            <w:vAlign w:val="bottom"/>
            <w:gridSpan w:val="2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this annual report on Form 20-F (“Annual Report”), “NuCana,” “NuCana plc,” the “Group,” the “Company,” “we,” “us” and “our” refer to NuCana plc and its consolidated subsidiaries, except where the context otherwise requires.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NuCana® and Acelarin® are our registered trademarks and ProTides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is our trademark.</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DATA</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 data as at December 31, 2025 and 2024 and for the years ended December 31, 2025, 2024 and 2023 have been derived from our consolidated financial statements, which have been prepared in accordance with International Financial Reporting Standards, or IFRS, as issued by the International Accounting Standards Board, or IASB and audited in accordance with the standards of the Public Company Accounting Oversight Board (United States).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references in this Annual Report to “$” are to U.S. dollars and all references to “£” are to pounds sterling.</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contains estimates and forward-looking statements, principally in the sections titled “Risk Factors,” “Operating and Financial Review and Prospects” and “Business.” Some of the matters discussed concerning our operations and financial performance include forward-looking statements and estimates within the meaning of the Securities Act of 1933, as amended, and the Securities Exchange Act of 1934, as amended. The words “believe,” “may,” “will,” “estimate,” “continue,” “anticipate,” “intend,” “expect” and similar words are intended to identify forward-looking statements and estimates. Forward-looking statements include, but are not limited to, statements about:</w:t>
      </w:r>
    </w:p>
    <w:p>
      <w:pPr>
        <w:spacing w:after="0" w:line="75" w:lineRule="exact"/>
        <w:rPr>
          <w:sz w:val="20"/>
          <w:szCs w:val="20"/>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NUC-7738 and NUC-3373, as well as Acelarin, including statements regarding the expected initiation, timing, progress and availability of data from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 of our ProTides and their competitive positions;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ProTides,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capital requirements and our need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new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collaborations;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strength of our patent portfolio.</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intend to serve, to differ materially from those expressed in, or suggested by, these forward-looking statements. Factors that could cause actual results, financial condition, liquidity, performance, prospects, opportunities, achievements or industry results to differ materially include, but are not limited to, those discussed under “Risk Factors” in this Annual Report. Additional risks that we may currently deem immaterial or that are not presently known to us could also cause the forward-looking events discussed in this Annual Report not to occur. These forward-looking statements are based on assumptions regarding our present and future business strategies and the environment in which we expect to operate in the future.</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Forward-looking statements and estimates speak only at the date they were made, and we undertake no obligation to update or to review any forward-looking statement or estimate because of new information, future events or other factors. Forward-looking statements and estimates involve risks and uncertainties and are not guarantees of future performance. Our future results may differ materially from those expressed in these forward-looking statements and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firstLine="509"/>
        <w:spacing w:after="0" w:line="256" w:lineRule="auto"/>
        <w:rPr>
          <w:sz w:val="20"/>
          <w:szCs w:val="20"/>
          <w:color w:val="auto"/>
        </w:rPr>
      </w:pPr>
      <w:r>
        <w:rPr>
          <w:rFonts w:ascii="Times New Roman" w:cs="Times New Roman" w:eastAsia="Times New Roman" w:hAnsi="Times New Roman"/>
          <w:sz w:val="18"/>
          <w:szCs w:val="18"/>
          <w:color w:val="auto"/>
        </w:rPr>
        <w:t>The words “believe,” “may,” “will,” “estimate,” “continue,” “anticipate,” “intend,” “expect” and similar words are intended to identify estimates and forward-looking statements. Estimates and forward-looking statements speak only at the date they were made, and we undertake no obligation to update or to review any estimate and/or forward-looking statement because of new information, future events or other factors. In light of the risks and uncertainties described above, the estimates and forward-looking statements discussed in this Annual Report might not occur, and our future results and our performance may differ materially from those expressed in these forward-looking statements due to, inclusive of, but not limited to, the factors mentioned above. Because of these uncertainties, you should not make any investment decision based on these estimates and forward-looking statements.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maintain a public website at https://www.nucana.com and use our website as a routine channel of distribution of company information, including press releases, analyst presentations, and supplemental financial information, as a means of disclosing material non-public information and for complying with our disclosure obligations under Regulation FD. Our website includes an Investors section through which we make available, free of charge, our Annual Reports on Form 20-F, Reports on Form 6-K, as well as any amendments to those reports filed or furnished pursuant to the Exchange Act as soon as reasonably practicable after we electronically file such material with, or furnish it to, the SEC. Accordingly, investors should monitor our website in addition to following press releases, filings with the SEC, and public conference calls and webcasts.</w:t>
      </w:r>
    </w:p>
    <w:p>
      <w:pPr>
        <w:spacing w:after="0" w:line="187"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None of the information provided on our website, in our press releases or public conference calls and webcasts or through social media is incorporated into, or deemed to be a part of, this Annual Report or in any other report or document we file with the SEC, and any references to such website is intended to be inactive textual references only.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33" w:lineRule="exact"/>
        <w:rPr>
          <w:rFonts w:ascii="Times New Roman" w:cs="Times New Roman" w:eastAsia="Times New Roman" w:hAnsi="Times New Roman"/>
          <w:sz w:val="18"/>
          <w:szCs w:val="18"/>
          <w:b w:val="1"/>
          <w:bCs w:val="1"/>
          <w:color w:val="auto"/>
        </w:rPr>
      </w:pPr>
    </w:p>
    <w:p>
      <w:pPr>
        <w:ind w:left="520" w:right="8400" w:hanging="512"/>
        <w:spacing w:after="0" w:line="412"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7620" w:hanging="512"/>
        <w:spacing w:after="0" w:line="412"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33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has significant risks. You should carefully consider the following risk factors and all other information contained in our Annual Report on Form 20-F for the year ended December 31, 2025, or Annual Report, and in subsequent reports filed on Form 6-K, including our consolidated financial statements and the related notes. The risks and uncertainties described below are those significant risk factors, currently known and specific to us, that we believe are relevant to our business, results of operations and financial condition. If any of these risks materialize, our business, results of operations or financial condition could suffer and the price of the American Depositary Shares, or ADSs, could decline. Additional risks and uncertainties not currently known to us or that we now deem immaterial may also harm us and adversely affect our business, results of operations and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ADSs is subject to a number of risks, including risks related to our business and industry, risks related to development of our product candidates, and risks related to our ADSs. The following summarizes some, but not all, of these risks. Please carefully consider all of the information discussed in our Annual Report and in subsequent reports filed on Form 6-K for a more thorough description of these and other risks.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NUC-7738 and NUC-3373. We cannot give any assurance that these product candidates will receive regulatory approval for any indication, which is necessary before any of them can be commercialized. If we, and any collaborators with whom we may enter into agreements for the development and commercialization of any of these product candidates, are unable to commercialize them, or experience significant delays in doing so, our ability to generate revenue and our financial condition will be adversely affected.</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any approved products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adversely affect our results of operations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of Our Product Candidates</w:t>
      </w:r>
    </w:p>
    <w:p>
      <w:pPr>
        <w:spacing w:after="0" w:line="121" w:lineRule="exact"/>
        <w:rPr>
          <w:sz w:val="20"/>
          <w:szCs w:val="20"/>
          <w:color w:val="auto"/>
        </w:rPr>
      </w:pPr>
    </w:p>
    <w:p>
      <w:pPr>
        <w:ind w:left="760" w:right="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success in the ongoing and completed early-stage clinical trials may not be indicative of results obtained when these trials are completed or in later stage trials.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We may incur additional costs or experience delays in completing, or ultimately be unable to complete, the development and may experience delays in obtaining, or ultimately be unable to obtain, the approval of our product candidates.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resources and access to capital, we must, and have in the past decided to, prioritize development of certain ProTide candidates over other potential candidates and certain indications over other potential indications. These decisions may prove to have been wrong and may adversely affect our performance.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expand our technology platform to build a pipeline of additional ProTide candidates.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Marketing Approval of Our Product Candidates</w:t>
      </w:r>
    </w:p>
    <w:p>
      <w:pPr>
        <w:spacing w:after="0" w:line="121"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marketing approvals, we will not be able to commercialize our product candidates and our ability to generate revenue will be impaired.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that could delay or prevent their marketing approval, limit the commercial profile of an approved label, or result in significant negative consequences following marketing approval, if any.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21" w:lineRule="exact"/>
        <w:rPr>
          <w:sz w:val="20"/>
          <w:szCs w:val="20"/>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and expect to continue to rely on, third parties to conduct our clinical trials for our product candidates. If these third parties do not successfully carry out their contractual duties, comply with regulatory requirements or meet expected deadlines, we may not be able to obtain marketing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and shipment of our product candidates for preclinical studies and clinical trials and expect to continue to do so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license and collaboration agreement with Cardiff ProTides Ltd., we could lose rights to licensed and assigned intellectual property that are necessary for developing and commercializing certain potential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21" w:lineRule="exact"/>
        <w:rPr>
          <w:sz w:val="20"/>
          <w:szCs w:val="20"/>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product candidates, such drugs may become subject to unfavorable pricing regulations or third-party coverage and reimbursement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for our technology and products, or if the scope of the intellectual property protection obtained is not sufficiently broad, our competitors could commercialize technology and products similar or identical to ours, and our ability to successfully commercialize our technology and products may be impaired. In addition, if we infringe the valid patent rights of others, we may be prevented from making, using or selling our products or may be subject to damages or penalties.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could cause us to spend substantial resources and distract our personnel from their normal responsibilities.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information, or that of our suppliers and any future collaborators, may be lost or we may suffer security breaches or other cybersecurity incidents.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121" w:lineRule="exact"/>
        <w:rPr>
          <w:sz w:val="20"/>
          <w:szCs w:val="20"/>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number of employees, and our future success depends on our ability to retain key executives and to attract, retain and motivate qualified personnel.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21"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ADSs may be volatile and may fluctuate due to factors beyond our control, which, as a result, may affect our ability to maintain compliance with The Nasdaq Capital Market’s continued listing requirements.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ADSs may decline and fall below the minimum bid price requirement required by the Nasdaq Listing Rules, including Nasdaq Listing Rules 5550(a)(2) and 5810(c)(3)(A)(iii) which could result in our ADSs being delisted from The Nasdaq Capital Market. A delisting of our ADSs from The Nasdaq Capital Market could adversely affect our ability to raise additional capital through the public or private sale of equity securities, the ability of investors to dispose of ADSs or obtain accurate quotations as to the market value of our ADSs and the price and value of our ADSs.</w:t>
      </w:r>
    </w:p>
    <w:p>
      <w:pPr>
        <w:spacing w:after="0" w:line="18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in the United States, and our management is required to devote substantial time to new compliance initiatives and corporate governance practices.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existing shareholders, members of our board of directors and senior management maintain the ability to exercise significant control over us. Your interests may conflict with the interests of these existing shareholders.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possibility of future sales, of a substantial number of our ADSs or ordinary shares could adversely affect the price of our ADSs.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ADSs may be subject to limitations on transfer of their ADSs.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We expect to incur losses for the foreseeable future and may never achieve or maintain profitability.</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incurred net losses of £19.0 million for the year ended December 31, 2024 and £29.4 million for the year ended December 31, 2025. As of December 31, 2025, we had an accumulated deficit of £252.3 million. Our product candidate, NUC-7738, is currently in the Phase 2 part of a Phase 1/2 clinical trial (NuTide:701) for patients with advanced solid tumors which is evaluating NUC-7738 as a monotherapy in patients with advanced solid tumors and in combination with pembrolizumab in patients with melanoma. Our product candidate, NUC-3373, has recently been evaluated in a Phase 1b/2 modular clinical trial (NuTide:303) of NUC-3373 in combination with the PD-1 inhibitor pembrolizumab for patients with advanced solid tumors and in combination with docetaxel for patients with lung cancer, and we are currently evaluating optimal combinations and indications for further clinical trials of NUC-3373. It may be several years, if ever, before we have a product candidate ready for commercialization. To date, we have financed our operations primarily through public and private placements of our equity securities. We expect to continue to incur significant expenses and operating losses for the foreseeable future. The net losses we incur may fluctuate significantly from quarter to quarter. We anticipate that our expenses will increase substantially if and as we:</w:t>
      </w:r>
    </w:p>
    <w:p>
      <w:pPr>
        <w:spacing w:after="0" w:line="86"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our ProTides, including completing ongoing clinical trials and initiating additional clinical trials of NUC-7738 and NUC-3373;</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and potentially initiate clinical trials of any preclinical-stage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new product candidates;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robust supply chain for the manufacture of our product candidates in accordance with current good manufacturing practice, or cGMP;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our product candidates that successfully complete pivotal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obtain marketing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 acceptance of our product candidates in the medical community and with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headcount by recruiting personnel to drive our clinical development programs and effectively manage out-sourced development activities;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if any, for the development of our product candidates or in-license other products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which will trigger payments under our license agreements;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protecting our intellectual property may result in litigation aimed at enforcing or defending our patents. Intellectual property litigation is expensive and, in the event that we lose any such litigation, we may be subject to additional significant legal expense, including the potential requirement to pay the legal expenses of opposing parties.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new pharmaceutical drugs, we are unable to predict the extent of any future losses or when we will become profitable, if at all. In addition, our expenses could increase beyond expectations if we are required by the Food and Drug Administration, or FDA, the European Medicines Agency, or EMA, or other foreign regulatory agencies, to perform studies and clinical trials in addition to those that we currently anticipate, or if there are any delays in the completion of planned clinical trials or the development of any of our ProTides.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products with significant market potential. This will require us to be successful in a range of challenging activities, including the following:</w:t>
      </w:r>
    </w:p>
    <w:p>
      <w:pPr>
        <w:spacing w:after="0" w:line="54"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trials of our product candidates that achieve their clinical endpoints;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 for our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satisfactory acceptance, formulary placement coverage and adequate reimbursement for our approved products from third-party payors, including private health insurers, managed care providers and governmental payor programs, including Medicare and Medicaid in the United States;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selling those products for which we may obtain marketing approval;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our product candidates in the medical community and with third-party payors.</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discovery and preclinical development efforts, expand our business or continue our operations and may require us to raise additional capital that may dilute your ownership interest. A decline in the value of the company could also cause you to lose all or part of your investment.</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product candidates, NUC-7738 and NUC-3373. We cannot give any assurance that these product candidates will receive regulatory approval for any indication, which is necessary before any of them can be commercialized. If we, and any collaborators with whom we may enter into agreements for the development and commercialization of any of these product candidates, are unable to commercialize them, or experience significant delays in doing so, our ability to generate revenue and our financial condition will be adversely affected.</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do not currently generate any revenues from sales of any products, and we may never be able to develop or commercialize a marketable product. We have invested substantially all of our efforts and financial resources to date in the development of NUC-7738 and NUC-3373, as well as Acelarin, for which we discontinued the NuTide:121 clinical trial in March 2022. Our ability to generate product revenues, which we do not expect will occur for at least the next several years, if ever, will depend heavily on the successful development and eventual commercialization of these product candidates, if approved, which may never occur. Each of NUC-7738 and NUC-3373 will require additional clinical development,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if at all. We are not permitted to market or promote any product candidates in the United States, Europe or other countries before we receive regulatory approval from the FDA, the EMA or comparable foreign regulatory authorities, and we may never receive such regulatory approval for NUC-7738, NUC-3373 or any future product candidate. We have not submitted a New Drug Application, or NDA, to the FDA, a Marketing Authorization Application, or MAA, to the EMA or comparable applications to other regulatory authorities for any of our product candidates and do not expect to be in a position to do so in the foreseeable future. The success of our product candidates will depend on many factors, including the following:</w:t>
      </w:r>
    </w:p>
    <w:p>
      <w:pPr>
        <w:spacing w:after="0" w:line="81" w:lineRule="exact"/>
        <w:rPr>
          <w:sz w:val="20"/>
          <w:szCs w:val="20"/>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the product candidate is safe and effective as a treatment for our targeted indications to the satisfaction of the applicable regulatory authorities;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additional nonclinical studies or clinical trials of the product candidate, including additional toxicology trials, which would increase our costs and prolong our development;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our product candidates may not meet the level of statistical or clinical significance required by the applicable regulatory authorities for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disagree with the number, design, size, conduct or implementation of our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clinical trials or clinical data analyses may take actions outside of our control that adversely impact our clinical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find the data from nonclinical studies and clinical trials sufficient to demonstrate that the clinical and other benefits of the product candidate outweigh its safety risks;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disagree with our interpretation of data from nonclinical studies and clinical trials or may require that we conduct additional studies;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accept data generated at our clinical trial sites;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to the FDA or an MAA to the EMA, and it is reviewed by an advisory committee, the advisory committee may recommend against approval of our application or may recommend that the FDA or the EMA require, as a condition of approval, additional nonclinical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development of a risk evaluation and mitigation strategy, or REMS, as a condition of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change their approval policies or adopt new regulations;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identify deficiencies in our formulation and manufacturing processes or facilities of our third-party manufacturers;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our formulation and manufacturing processes as a result of having not yet optimized formulations or due to lack of availability of starting materials;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up the manufacturing process for some of our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on the safe and appropriate administration of our drugs in the clinic, including with respect to the conversion of our product candidates from a dry powder formulation to a liquid formulation prior to intravenous, or IV, administration, precipitation or other blockages in IV infusion lines, and the handling and storage of the IV infusion bags containing our product candidates, any of which may result in the need to carry out additional studies on the administration and compatibility of our product candidates with infusion sets and pumps;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faced with challenges from third parties with respect to our right to use certain processes in the formulation and process development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defend our patents against infringement by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unknowingly infringe third-party patents;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 “freedom to operate” issue;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efforts of third parties in completing clinical trials of, receiving regulatory approval for and commercializing, any product candidate we license to such third parties;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clinical trials, we may discover factors that limit the commercial viability of the product candidate or make its commercialization unfeasible;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completing nonclinical studies and clinical trials of, receiving marketing approvals for, establishing commercial manufacturing capabilities for and commercializing, any product candidate to which we retain rights under a collaboration agreement;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gaining acceptance of any product candidate by patients, the medical community and third-party payors, effectively competing with other therapies, maintaining a continued acceptable safety profile following approval and qualifying for, maintaining, enforcing and defending our intellectual property rights and claims.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With respect to each of NUC-7738 and NUC-3373, if we or our suppliers, as applicable, do not overcome one or more of these factors in a timely manner or at all, we could experience significant delays or an inability to successfully commercialize that product candidate.</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cannot be certain that NUC-7738 or NUC-3373 or any future product candidates will be successful in clinical trials or receive regulatory approval. Further, NUC-7738 or NUC-3373 or any future product candidates may not receive regulatory approval even if they are successful in clinical trials. If we do not receive regulatory approvals for NUC-7738 or NUC-3373 or any future product candidates, we may not be able to continue our operations. Even if we successfully obtain regulatory approvals to manufacture and market NUC-7738 or NUC-3373 or any future product candidates, our revenues will be dependent, in part, upon the size of the markets in the territories for which we gain regulatory approval and have commercial rights. If the markets for patient groups that we are targeting are not as significant as we estimate, we may not generate significant revenues from sales of such products, if approved.</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plan to seek regulatory approval to commercialize NUC-7738 and NUC-3373 in the United States and the European Union,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commercial sales, pricing and distribution of NUC-7738 and NUC-3373, and we cannot predict success in these jurisdictions.</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or an effect on an intermediate clinical endpoint that can be measured earlier than an effect on irreversible morbidity or mortality. Discussions with the FDA about the feasibility of an accelerated approval typically begin early in the development of a new drug product in order to identify, among other things, an appropriate surrogate or intermediate clinical endpoint.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However, even if we were to generate clinical data sufficient to support an NDA submission seeking accelerated approval for any of our product candidates, there can be no assurance that such marketing application will be accepted by the FDA for substantive review or that approval will be granted on a timely basis, or at all. In addition, if another company receives full approval from the FDA to market a product for treatment of a similar indication to our product candidate, our ability to seek and obtain accelerated approval for our product candidate in the same or similar indication may be materially adversely affected. The FDA or foreign regulatory authorities also could require us to conduct further studies or trials prior to considering our application or granting a marketing approval of any type. We might not be able to fulfill the FDA’s requirements in a timely manner, which would cause delays, or approval might not be granted because our submission is deemed incomplete by the FDA. A failure to obtain accelerated approval for any of our product candidates would result in a longer time period to obtain approval for and commercialize such product candidate, could increase the cost of development of such product candidates and could harm our competitive position in the marketplace.</w:t>
      </w:r>
    </w:p>
    <w:p>
      <w:pPr>
        <w:spacing w:after="0" w:line="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Even if we were to receive accelerated approval from the FDA for any of our other product candidates, we will be subject to rigorous post-marketing requirements, including the submission of confirmatory clinical data verifying the clinical benefit of the product. Drug products marketed under an accelerated approval NDA also are subject to a requirement that all promotional materials must be submitted to the FDA at least 30 days prior to their dissemination. The FDA could seek to withdraw accelerated approval for multiple reasons, including if we fail to complete the required post-marketing study with due diligence, the post-marketing study fails to verify the product’s clinical benefit, other evidence shows that the product is not safe or effective under the conditions of use, or we disseminate promotional materials that are found by the FDA to be false and misleading.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any approved products may make it difficult for you to evaluate the success of our business to date and to assess our future viability.</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Our operations to date have been limited to organizing and staffing our company, business planning, raising capital, developing our technology, identifying potential product candidates, undertaking preclinical studies, and conducting clinical trials of our product candidates. We have not yet demonstrated our ability to successfully complete large-scale, randomized, pivotal clinical trials compared to standards of care, obtain marketing approvals, manufacture a commercial scale product, or arrange for a third party to do so on our behalf, or conduct sales and marketing activities necessary for successful product commercialization. Typically, it takes several years to develop one new drug from the time it is discovered to when it is available for treating patients. In addition,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to us on acceptable terms, or at all. If we fail to obtain additional financing, we may be unable to complete the development and commercialization of our product candidates or continue our development programs.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with our ongoing activities, particularly as we conduct larger-scale clinical trials of, and seek marketing approval for, our product candidates. In addition,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or geographies for our product candidates or otherwise expand more rapidly than we presently anticipate. Furthermore, we will continue to incur costs associated with operating as a public company. Accordingly, we will need to obtain substantial additional funding in connection with our continuing operations.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of December 31, 2025, we had £24.3 million in cash and cash equivalents. We believe, based upon our current operating plan, that our cash and cash equivalents on hand will be sufficient to fund our anticipated operations for at least the next twelve months. Our future capital requirements and the period for which we expect our existing resources to support our operations may vary significantly from what we expect. Our monthly spending levels vary based on new and ongoing research and development and other corporate activities. Because the length of time and activities associated with successful research and development of our product candidates is highly uncertain, we are unable to estimate the actual funds we will require for development and any approved marketing and commercialization activities. In addition, our future capital requirements will depend on many factors, and could increase significantly as a result of many factors, including:</w:t>
      </w:r>
    </w:p>
    <w:p>
      <w:pPr>
        <w:spacing w:after="0" w:line="81"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non-exclusive, jointly funded clinical research collaboration arrangements, if any, for the development of our product candidates in combination with other companies’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 arrangements for the development of our product candidates on favorable terms, if at all;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license agreements and any collaboration agreements into which we may enter,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 candidates and technologies, and the terms of such in-licenses;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sales, marketing, manufacturing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Conducting preclinical studies and clinical trials is a time-consuming, expensive and uncertain process that can take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not be commercially available for several years, if ever. Accordingly, we will need to continue to rely on additional financing to achieve our business objectives.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Volatility in the financial markets has generally made equity and debt financing more difficult to obtain and may compromise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identify conditions and events that raise substantial doubt about our ability to continue as a going concern, which may hinder our ability to obtain future financing.</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have incurred recurring losses from our operations, have an accumulated deficit totaling £252.3 million and cash flows used in operating activities of £7.5 million as of and for the year ended December 31, 2025. We had cash and cash equivalents of £24.3 million at December 31, 2025. We expect our expenses to increase in the medium to long-term with our ongoing activities, particularly if we conduct larger-scale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will continue to incur costs associated with operating as a public company. Accordingly, we will need to obtain substantial additional funding in connection with our continuing operations. In addition, we have based estimates of our cash runway on assumptions including, but not limited to, our expectations as to our future expenses and costs and our continued eligibility to receive tax relief or credits in connection with our research and development expenditure in the United Kingdom. There is no assurance that these assumptions will be correct and, as a result, we could use our available capital resources sooner than we currently expect and may identify conditions and events that raise substantial doubt about our ability to continue as a going concern and we may be unable to realize our assets and discharge our liabilities in the normal course of business. 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We may also need to raise additional funds if we choose to pursue additional indications or geographies for development and commercialization of our product candidates or otherwise expand more rapidly than we presently anticipate.</w:t>
      </w:r>
    </w:p>
    <w:p>
      <w:pPr>
        <w:spacing w:after="0" w:line="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there is substantial doubt about our ability to continue as a going concern in the future, it may negatively impact the trading price of our securities, have an adverse impact on our relationship with third parties with whom we do business, including our customers, vendors and employees, and could make it challenging and difficult for us to raise additional equity or debt financing to the extent needed, all of which could have a material adverse impact on our business, results of operations, financial condition and prospects. In addition, in the future, we may commence an equity financing process in order to raise additional capital and if we do, there can be no assurance that we will be successful and if we are unable to raise additional capital, we could potentially be forced to complete a wind down of our operations and/or seek bankruptcy protection.</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such agencies’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Government funding of the SEC and other government agencies on which our operations may rely, including those that fund research and development activities is subject to the political process, which is inherently fluid and unpredictable. In 2025, the Trump Administration began implementing a large-scale reduction of the federal government workforce as well as major organizational changes and consolidation throughout the executive branch. As part of these efforts, the FDA has experienced significant and rapid fluctuations in leadership and scientific review personnel, which may be key contributing factors in multiple reported delays in agency decision making on marketing applications and agency requests for additional data that are inconsistent with prior regulatory feedback. In addition, reauthorization of the next prescription drug user fee package would need to be finalized by Congress by September 2027 in order to avoid a disruption in FDA’s review goals for new drug applications and other activities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supported by user fees assessed against industry; stakeholder negotiations were recently initiated and are expected to continue throughout 2026.</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Moreover, shutdowns or slowdowns in normal agency work caused by public health emergencies can increase the time needed for the agency to complete its review or make final approval or other administrative decisions. If a prolonged government shutdown or slowdown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 and obtain necessary capital in order to properly capitalize and continue our operations; the impact of mass layoffs at other governmental offices with which we interact is unclear at this time.</w:t>
      </w:r>
    </w:p>
    <w:p>
      <w:pPr>
        <w:spacing w:after="0" w:line="30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three decisions from the U.S. Supreme Court in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including but not limited to the FDA and SEC, and may impact how such agencies choose to pursue enforcement and compliance actions. However, the specific, lasting effects of these decisions, which may vary within different judicial districts and circuits, is unknown. We also cannot predict the extent to which FDA and SEC regulations, policies, and decisions may become subject to increasing legal challenges, delays, and changes.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to reduce future tax payments or benefit from favorable United Kingdom tax legislation.</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United Kingdom resident company, we are subject to U.K. corporate taxation. We have generated losses since inception. As of December 31, 2025, we had cumulative carry forward tax losses of £120.7 million. Subject to any relevant restrictions, including the Corporate Income Loss Restriction and the Corporate Capital Loss Restriction that, broadly, restrict the amount of carried forward losses that can be utilized to 50% of group profits or gains arising above £5.0 million per tax year, we expect these to be available to carry forward and offset against future operating profits.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activities, we have historically benefited from the United Kingdom’s research and development tax credit regime for small and medium-sized companies that was in place until March 31, 2024. On April 1, 2024, this regime was replaced with a new regime (including a standalone scheme applying to research and development-intensive loss-making small and medium-sized companies) that applies in respect of accounting periods beginning on or after that date. We currently qualify as a research and development-intensive loss-making small or medium-sized company. However, in the future, we may no longer qualify as a research and development-intensive loss-making small or medium-sized company and, in that scenario, we may be able to claim research and development expenditure credit under the post April 1, 2024 regime, referred to as the “Merged Scheme”.</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benefit in the future from the United Kingdom’s “patent box” regime, which allows certain profits attributable to revenues from patented products to be taxed at an effective rate of 10%. As we have many different patents covering our products, future upfront fees, milestone fees, product revenues and royalties could be taxed at this favorably low tax rate. When taken in combination with the enhanced relief available on our research and development expenditures, we expect a long-term lower rate of corporation tax to apply to us. However, as a result of the changes to the United Kingdom research and development tax credit regimes (whether as a result of the reform of the U.K. research and development tax regime outlined above, or otherwise) or if there are unexpected adverse changes to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or may apply existing rules in an arbitrary or unforeseen manner, resulting in unanticipated costs, taxes or non-realization of expected benefits.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His Majesty’s Revenue &amp; Customs, or HMRC, the U.S. Internal Revenue Service or another tax authority could challenge our allocation of income by tax jurisdiction and the amounts paid between our affiliated companies pursuant to our intercompany arrangements and transfer pricing policies, including methodologies for valuing developed technology and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or in the future into which we sell our products, could increase the estimated tax liability that we have expensed to date and paid or accrued on our balance sheets, and otherwise affect our financial position, future results of operations, cash flows in a particular period and overall or effective tax rates in the future in countries where we have operations or may sell our products, reduce post-tax returns to our shareholders and increase the complexity, burden and cost of tax compliance.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company based in the United Kingdom, our business is subject to risks associated with conducting business internationally. Many of our suppliers and collaborative and clinical trial relationships are located outside of the United States. Accordingly, our future results could be harmed by a variety of factors, including:</w:t>
      </w:r>
    </w:p>
    <w:p>
      <w:pPr>
        <w:spacing w:after="0" w:line="68"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drug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of the pound sterling, the euro and currency controls;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 including the implications of the United Kingdom’s withdrawal from the European Union, or any potential future referendum regarding the independence of Scotland;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United States and abroad, interest rates, fuel prices, international currency fluctuations, corruption, political instability, acts of war, including the ongoing geopolitical conflicts and any potential spread of such conflicts into a wider war, acts of terrorism, and pandemics or other public health crises.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 and tariffs.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Inflation and tariffs have the potential to adversely affect our liquidity, business, financial condition and results of operations by increasing our overall cost structure. The existence of inflation and tariffs in the economy has resulted in, and may continue to result in, higher interest rates and capital costs, shipping costs, supply shortages, increased costs of labor, weakening exchange rates and other similar effects. As a result of inflation and tariffs, we have experienced and may continue to experience, cost increases. Although we may take measures to mitigate the impact of inflation and tariffs,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inflation or tariffs are incurred.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However, if any of our other counterparties to instruments such as uninsured deposit accounts, credit agreements, letters of credit and certain other financial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financial institution credit agreements and arrangements, and third parties such as beneficiaries of letters of credit (among others), may experience direct impacts from the closure of such financial institution and uncertainty remains over liquidity concerns in the broader financial services industry. Similar impacts have occurred in the past, such as during the 2023 closures of Silicon Valley Bank, Signature Bank, and Silvergate Capital Corp and the 2008 to 2010 financial crisis.</w:t>
      </w:r>
    </w:p>
    <w:p>
      <w:pPr>
        <w:spacing w:after="0" w:line="8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in 2023 the U.S. Department of Treasury, Federal Deposit Insurance Corporation, or FDIC, and Federal Reserve Board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5540" w:right="2680" w:hanging="5158"/>
        <w:spacing w:after="0" w:line="657" w:lineRule="auto"/>
        <w:tabs>
          <w:tab w:leader="none" w:pos="7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U.K.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pandemics or public health crises could adversely impact our business, including our preclinical studies and clinical trials.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We rely on third-party manufacturers, distributors, information technology and software service providers, law and accounting firms, CROs, and consultants who are subject to, or may become subject to, pandemic-related controls. Pandemics or epidemics may also affect employees of third-party CROs located in affected geographies that we rely upon to carry out clinical trials. If these third parties cannot perform the services we require in a timely way and we cannot successfully implement replacements or workarounds, our business, results of operations, and financial condition could be harmed. As a result of potential future pandemics, we may in the future experience disruptions that could severely impact our business, preclinical studies and clinical trials, including:</w:t>
      </w:r>
    </w:p>
    <w:p>
      <w:pPr>
        <w:spacing w:after="0" w:line="79"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preclinical experiments and investigational new drug application-enabling good laboratory practice standard toxicology studies due to unforeseen circumstances at CROs and vendors along their supply chain;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a virus, infection, or other disease, being forced to quarantine, or not wanting to attend hospital visits;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national, state or local governments, employers and others or interruption of clinical trial subject visits and trial procedures (particularly any procedures that may be deemed non-essential), which may impact the integrity of subject data and clinical trial endpoints;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the EMA or other foreign regulatory agencies, which may impact approval timelines;</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312"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or delays in receiving, supplies of our product candidates from our contract manufacturing organizations due to staffing shortages, production slowdowns or stoppages and disruptions in our supply chain or distribution vendors’ ability to ship product candidates; and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These and other factors could further adversely impact our ability to conduct clinical trials and our business generally, and could have a material adverse impact on our operations and financial condition and results.</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the trading prices for our ADSs and for the securities of other biopharmaceutical companies may be highly volatile during certain periods as a result of a pandemic. As a result, we may face difficulties raising capital through sales of our ADSs or such sales may be on unfavorable terms. The extent to which a pandemic may impact our business, preclinical studies and clinical trials will depend on future developments, which are highly uncertain and cannot be predicted with confidence, such as the emergence, severity and spread of new variants of a disease, the duration of a pandemic and any outbreak of future variants, the potential imposition of travel restrictions and actions to contain a pandemic and any future outbreaks, such as social distancing and quarantines or lock-downs in the United Kingdom, the United States and other countries, business closures or business disruptions and the effectiveness of actions taken in the United Kingdom, the United States and other countries to contain and treat a disease.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conflicts in Ukraine, the Middle East, and other countries and regions could adversely impact our business, in particular with respect to enrollment and data collection in any clinical trials of our product candidates that may be conducted in these countries and regions.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ongoing military and geopolitical conflicts in Ukraine, the Middle East, and other countries and regions could disrupt our clinical trials that may be conducted in these countries and regions and increase our costs in these countries and regions. Although the length and impacts of any military action or geopolitical conflicts are highly unpredictable, clinical trial sites that may be established in Ukraine, Russia and Belarus and neighboring countries, as well as in the Middle East and other countries and regions with military or geopolitical conflicts could suspend or terminate their participation in trials, and patients and physicians could be forced to evacuate or voluntarily choose to relocate far from clinical trial sites, making them unavailable and potentially making data collection more difficult or not possible. Any such difficulties at clinical trial sites that may be established, or the unavailability of such clinical trial sites, could result in delays in enrolling or completing clinical trials, the need to identify alternative clinical trial sites, and increased overall development costs. Furthermore, the United States and its European allies have imposed significant sanctions against Russia and Belarus, as well as certain countries in the Middle East and other countries and regions with military or geopolitical conflicts, including embargoes, sanctions and other restrictions. Our ability to conduct potential future clinical trials or make purchases from suppliers located in Russia, Belarus and parts of Ukraine and elsewhere in the region, as well as certain countries in the Middle East and other countries and regions with military or geopolitical conflicts, has become restricted under applicable sanctions laws. All of the foregoing could impede the execution of our clinical development plans, which could materially harm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recent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the United Kingdom, and other countries in response to such conflicts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 or grant rights to develop and market our product candidates even if we would otherwise prefer to develop and market such product candidates ourselves, or on less favorable terms than we would otherwise choose. In addition, one or more of our current service providers, manufacturers and other partners may not survive an economic downturn, which could directly affect our ability to attain our clinical development goals on schedule and on budget.</w:t>
      </w:r>
    </w:p>
    <w:p>
      <w:pPr>
        <w:spacing w:after="0" w:line="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Uncertainty about global economic conditions could result in increased costs related to the manufacture of our product candidates and, if our drug candidates are approved and made available for sale, customers may postpone purchases of our drug candidates in response to tighter credit, unemployment, negative financial news and/or declines in income or asset values and other macroeconomic factors, which could have a material adverse effect on demand for our drug candidates.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adversely affect our results of operations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pound sterling and the U.S. dollar, may adversely affect us. Although we are based in the United Kingdom, we source our active pharmaceutical ingredient, or API, and other raw materials and our research and development, manufacturing, consulting and other services worldwide, including from the United States, the European Union and India. Any weakening of the pound sterling against the currencies of such other jurisdictions makes the purchase of such goods and services more expensive for us. Further, potential future revenue may be derived from abroad, particularly from the United States.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negatively impacted by future changes in applicable regulatory regimes.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face new regulatory costs and challenges that could have an adverse effect on our operations. The regulatory frameworks applicable to our operations and the development of our product candidates, including those with respect to the FDA and the EMA, can change at any time as a result of political decisions. Any changes to the applicable regulatory frameworks could have a material impact on our plans and development strategy, including our supply of investigational medicinal products. Similarly, any significant political changes in Europe or the United Kingdom could result in disruption that could in turn delay the approval of new medicines at the EMA or the Medicines and Healthcare products Regulatory Agency, or MHRA, in the 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Initial success in the completed and ongoing early-stage clinical trials may not be indicative of results obtained when these trials are completed or in later stage trials.</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NUC-7738 is being evaluated in a Phase 1/2 clinical trial (NuTide:701). The Phase 1 part evaluated NUC-7738 as a monotherapy in patients with advanced solid tumors and the Phase 2 part is evaluating NUC-7738 in combination with pembrolizumab in patients with PD-1 inhibitor-resistant melanoma. While favorable results were obtained from the Phase 1 part of the clinical trial (NuTide:701) and the initial Phase 2 part, they may not be replicated in any ongoing or future clinical trials. NUC-3373 has recently been evaluated in a Phase 1b/2 modular clinical trial (NuTide:303) of NUC-3373 in combination with the PD-1 inhibitor pembrolizumab for patients with advanced solid tumors and in combination with docetaxel for patients with lung cancer, and we are currently evaluating optimal combinations and indications for further clinical trials of NUC-3373. However, our Phase 1b/2 clinical trial of NUC-3373 in patients with metastatic colorectal cancer and our Phase 2 randomized NuTide:323 clinical trial investigating NUFIRI + bevacizumab versus the global standard of care, 5-FU in combination with leucovorin, irinotecan and bevacizumab, or FOLFIRI + bevacizumab, were discontinued despite the favorable Phase 1 results of NUC-3373. In addition, data generated in early-stage trials in particular are not the basis on which marketing approval by the FDA or a comparable foreign regulatory authority would be sought. Furthermore, the results of our clinical trials may not meet the level of statistical significance required by the FDA or comparable foreign regulatory authorities for marketing approval. Statistical significance means that an effect is unlikely to have occurred by chance. Clinical trial results are considered statistically significant when the probability of the results occurring by chance, rather than from the efficacy of the product candidate, is sufficiently low. There can be no assurance that any of our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trials that we may announce or publish from time to time may change as patient enrollment continues, patient data are further examined and more patient data become available.</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may announce or publish preliminary or interim data from our clinical studies, including those from: the Phase 1/2 clinical trial (NuTide:701) which is evaluating NUC-7738 in the Phase 1 part as a monotherapy in patients with advanced solid tumors, and is evaluating NUC-7738 in combination with pembrolizumab in patients with PD-1 inhibitor-resistant melanoma in the Phase 2 part; and the Phase 1b/2 modular clinical trial (NuTide:303) which evaluated NUC-3373 in combination with pembrolizumab for patients with advanced solid tumors and in combination with docetaxel for patients with lung cancer; and any future clinical trials of any of our product candidates. Preliminary and interim data from a clinical trial are not always entirely representative of final data. Preliminary and interim data are subject to the risk that one or more of the clinical outcomes may materially change as patient enrollment continues, patient data are further examined, more patient data become available, and we prepare and issue our final clinical trial report. As a result, preliminary and interim data should be viewed with caution until the final data are available. Material adverse changes in the final data compared to the preliminary or interim data could significantly harm our business prospects.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relatively early in our development efforts. If we are unable to successfully develop and commercialize our product candidates or experience significant delays in doing so, our business will be harmed.</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currently do not have any products that have gained marketing approval. We have invested substantially all of our efforts and financial resources identifying and developing our ProTides, such as NUC-7738 and NUC-3373, as well as Acelarin for which we discontinued the NuTide:121 clinical trial in March 2022. Our ability to generate product revenues, which may not occur for several years, if ever, will depend on the successful development and eventual commercialization of our product candidates: NUC-7738, which is being evaluated in a Phase1/2 clinical trial (NuTide:701) as a monotherapy in the Phase 1 part in patients with advanced solid tumors, and in combination with pembrolizumab in patients with PD-1 inhibitor-resistant melanoma in the Phase 2 part; and NUC-3373, for which a Phase 1b/2 modular clinical trial (NuTide:303) of NUC-3373 in combination with pembrolizumab for patients with advanced solid tumors and in combination with docetaxel for patients with lung cancer was recently evaluated. We currently do not generate any revenues from sales of any products, and we may never be able to develop or commercialize a marketable drug. Each of our product candidates will require development, management of development and manufacturing activities, marketing approval in multiple jurisdictions, obtaining manufacturing supply, building of a commercial organization, substantial investment and significant marketing efforts before we generate any revenues from drug sales.</w:t>
      </w:r>
    </w:p>
    <w:p>
      <w:pPr>
        <w:spacing w:after="0" w:line="8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5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development activities for our product candidates, including 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preclinical development, clinical trials, marketing approvals and commercialization;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marketing approvals for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and regulatory exclusivity for our product candidates and ensure that we do not infringe the valid patent rights of third parties;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leverage and expand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on our own or in collaboration with strategic partners, if our product candidates are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for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for our product candidates following approval, if approved;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strategic relationships we elect to enter into, if any.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 If we do not receive marketing approvals for our product candidates, we may not be able to continue our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development of our product candidates may be delayed or prevented.</w:t>
      </w:r>
    </w:p>
    <w:p>
      <w:pPr>
        <w:spacing w:after="0" w:line="5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for our product candidates is critical to our success. We may not be able to initiate or continue clinical trials for our product candidates if we are unable to locate and enroll a sufficient number of eligible patients to participate in these trials. Patient enrollment may be affected by many factors including:</w:t>
      </w:r>
    </w:p>
    <w:p>
      <w:pPr>
        <w:spacing w:after="0" w:line="68"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for a product indication;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Federal Food, Drug, and Cosmetic Act, or FD&amp;C Act, requires sponsors of a Phase 3 clinical trial, or other “pivotal study” of a new drug to support marketing authorization, to design and submit a diversity action plan for such clinical trial. The action plan must describe appropriate diversity goals for enrollment, as well as a rationale for the goals and a description of how the sponsor will meet them. Although none of our product candidates has reached Phase 3 of clinical development, we must submit a diversity action plan to the FDA by the time we submit a Phase 3 trial, or pivotal study, protocol to the agency for review, unless we are able to obtain a waiver for some or all of the requirements for a diversity action plan.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experience delays or difficulties in the enrollment of patients in clinical trials for any reason, our clinical trials may be delayed or terminated. Any delays in completing our clinical trials will increase our costs, delay or prevent our product candidate development and approval process, and jeopardize our ability to commence product sales and generate revenue.</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may experience delays in obtaining, or ultimately be unable to obtain, the approval of our product candidates.</w:t>
      </w:r>
    </w:p>
    <w:p>
      <w:pPr>
        <w:spacing w:after="0" w:line="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risk of failure in drug development is high. This is particularly true for early-stage clinical programs, such as those we are currently conducting or have recently evaluated, including our Phase 1/2 clinical trial (NuTide:701), which is evaluating NUC-7738 in the Phase 1 part as a monotherapy in patients with advanced solid tumors, and is evaluating NUC-7738 in combination with pembrolizumab in patients with PD-1 inhibitor-resistant melanoma in the Phase 2 part; and the Phase 1b/2 modular clinical trial (NuTide:303), which recently evaluated NUC-3373 in a Phase 1b/2 modular clinical trial in combination with pembrolizumab for patients with advanced solid tumors and in combination with docetaxel for patients with lung cancer. Before obtaining marketing approval from regulatory authorities for the sale of any product candidate, we must complete nonclinical development and conduct extensive clinical trials to demonstrate the safety and efficacy of our product candidates in patients. Clinical trials are expensive, difficult to design and implement and can take several years to complete, and their outcome is inherently uncertain. Failure can occur at any time during the clinical trial process. Further, the results of preclinical studies and early clinical trials of our product candidates may not be predictive of the results of later-stage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It is impossible to predict when or if any of our product candidates will prove effective or safe in humans or will receive marketing approval.</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Clinical trials may be delayed, suspended or prematurely terminated because costs are greater than we anticipate or for a variety of reasons, such as:</w:t>
      </w:r>
    </w:p>
    <w:p>
      <w:pPr>
        <w:spacing w:after="0" w:line="68" w:lineRule="exact"/>
        <w:rPr>
          <w:sz w:val="20"/>
          <w:szCs w:val="20"/>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or pandemic, which may affect the ability to initiate and/or complete preclinical studies or conduct ongoing clinical trials, and may delay initiation of planned and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the EMA or a comparable foreign regulatory authority on a trial design that we are able to execute;</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authorization to commence a trial or inability to comply with conditions imposed by a regulatory authority regarding the scope or design of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trial sites and prospective CROs,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other clinical programs;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subjects to participate in a trial;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having subjects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the clinical protocol, failing to conduct the trial in accordance with regulatory requirements, or dropping out of a trial;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initiate or delay of or failure to complete a clinical trial as a result of an Investigational New Drug Application, or IND, being placed on clinical hold by the FDA, or for other reasons;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 clinical trial, including unforeseen costs due to enrollment delays, requirements to conduct additional clinical trials and increased expenses associated with the services of our CROs and other third parties;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a Data Safety Monitoring Board, if one is used for our clinical trials, may require that we suspend or terminate our clinical trials for various reasons, including noncompliance with regulatory requirements, unforeseen safety issues or adverse side effects, failure to demonstrate a benefit from using a drug,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in governmental regulations, policies or administrative actions.</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marketing approval for our product candidates. The FDA may disagree with our clinical trial design and our interpretation of data from clinical trials, or may change the requirements for approval even after it has reviewed and commented on the design for our clinical trials. For example, the FDA published guidance in 2022 on “Project Optimus”, an initiative to reform dose selection in oncology drug development. If the FDA does not believe we have sufficiently demonstrated that the selected doses for our investigational products maximize not only the efficacy of the investigational product, but the safety and tolerability as well, our ability to initiate new studies may be delayed. Even if we conducted the additional studies or generated the additional information requested, the FDA could disagree that we have satisfied their requirements, all of which will cause significant delays and expense to our programs.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even though NUC-3373 is a transformation of a chemotherapeutic agent that has been widely used for many years and there is a clear unmet medical need in the indications that we are currently pursuing, as well as others that we may pursue, in the clinic, there can be no assurance that the FDA will permit us to move more quickly to the initiation of pivotal clinical trials in large patient populations. Furthermore, NUC-7738 is a transformation of 3’-deoxyadenosine, a nucleoside analog that has never been successfully developed or approved as a chemotherapy, which may result in the need for more nonclinical studies or clinical trials than would be the case for transformations of approved chemotherapeutic agents.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studies of our product candidates beyond those that we currently contemplate, if we are unable to successfully complete clinical trials of our product candidates or other studies,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for our product candidates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restrictions or requirements, including confirmatory trials;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nonclinical and clinical development or receiving the requisite marketing approvals. We do not know whether any of our nonclinical studies or clinical trials will need to be restructured or will be completed on schedule, or at all. Significant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regulation and potential liability related to the privacy of personal data, including health information we obtain from clinical trials sponsored by us or our collaborators.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and privacy is increasingly demanding. These laws and regulations are increasing in complexity and number, may change frequently, and sometimes conflict. We are subject to numerous regulations governing the protection of personal and confidential information of our clinical trial subjects, clinical investigators, and employees, including in relation to medical records, credit card data and financial information, which encompass state privacy and confidentiality laws (including state laws requiring disclosure of breaches), federal and state consumer protection and employment laws, the Health Insurance Portability and Accountability Act, or HIPAA, and European and other foreign data protection laws. For example, the European Union General Data Protection Regulation, or GDPR, is applicable in all E.U. member states and member states of the European Economic Area, or E.E.A. In the United Kingdom, the data protection obligations of the GDPR continue to apply to U.K.-related processing of personal data in minimally varied form (see below for details) and fashion (retained in U.K. law as the “U.K. GDPR”).</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subject to the GDPR and/or U.K. GDPR when conducting clinical trials involving U.K.- or E.E.A.-based data subjects (whether the trials are conducted directly by us or through a clinical vendor or collaborator) or offering approved products (or any other products or services) to U.K.- or E.E.A.-based data subjects (regardless of whether involving a U.K. or E.E.A. based subsidiary or operation), when monitoring of their behavior of data subjects in the United Kingdom or E.E.A. and/or when acting through a U.K.- or E.E.A.-based subsidiary, operation or other establishment.</w:t>
      </w:r>
    </w:p>
    <w:p>
      <w:pPr>
        <w:spacing w:after="0" w:line="7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GDPR (and U.K. GDPR) sets out a number of requirements that must be complied with when handling personal data (i.e., data relating to an identified or identifiable living individual) in these circumstances, including: having an appropriate lawful basis for processing, and a relevant condition if processing ‘special category’ personal data (which includes personal data related to health, biometric data used for unique identification purposes and genetic information); the obligation to appoint data protection officers in certain circumstances; accountability and record-keeping obligations; transparency obligations for data controllers; the obligation to carry out ‘data protection impact assessments’ in certain circumstances; rights for data subjects (such as rights for individuals to be “forgotten”, rights to data portability, rights to object etc.); a stringent standard of data subject consent; and the obligation to notify certain significant personal data breaches to the relevant Supervisory Authority(ies) and affected individuals. In addition, the interpretation of what constitutes personal data under the GDPR has historically been very broad (for example, the GDPR expressly delineates between ‘pseudonymized’ (i.e., key-coded data) and data that has been rendered anonymous (the latter falling outside the scope of GDPR)). A 2025 decision from the Court of Justice of the European Union (EDPS v. SRB (CJEU C-413/23 P, EU:C:2025:645)) has clarified that anonymization is context-dependent and has therefore increased the potential for anonymizing data and removing it from the scope of the GDPR. Conversely, in 2025, the French supervisory authority (CNIL) fined Cegedim Sante €800,000 in a fact pattern where the data was found to have been pseudonymized rather than anonymized. It should therefore be noted that a number of opinions from Supervisory Authorities have supported a very wide interpretation of the concept of personal data and, thus, the application of the GDPR. Other recent decisions by E.U. supervisory authorities and the Court of Justice of the E.U. have confirmed that the rights granted to individuals under the GDPR must be applied broadly, and the law itself must be interpreted strictly, to guarantee the protection of the rights of individuals.</w:t>
      </w:r>
    </w:p>
    <w:p>
      <w:pPr>
        <w:spacing w:after="0" w:line="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GDPR and U.K. GDPR also impose strict rules on the transfer of personal data out of the E.E.A. and United Kingdom to U.S. and other Third Countries. Legal developments in the past five years have created further complexity and uncertainty regarding transfers of personal data from the E.E.A. and United Kingdom to the United States. The E.U.-U.S. Data Privacy Framework, the U.K. Extension to the E.U.-U.S. Data Privacy Framework and the Swiss-E.U. Data Privacy Framework, have made it easier to transfer personal data from the E.E.A., the United Kingdom and Switzerland to the United States (respectively). However, a decision by the Court of Justice of the European Union in January 2025 to award compensation to an individual whose personal data was transferred to the United States demonstrates that this remains a sensitive legal topic.</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the Data Privacy Framework is limited to transfers to certified participants in the U.S., many transfers continue to rely on the standard contractual clauses. Use of the standard contractual clauses must be assessed on a case-by-case basis taking into account the legal regime applicable in the destination country, in particular applicable surveillance laws and rights 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individuals and additional measures and/or contractual provisions may need to be put in place, however, the nature of these additional measures is currently uncertain. In May 2023, the Irish Data Protection Commission issued a €1.2 billion fine against Meta, and in August 2024 the Dutch Supervisory Authority fined Uber €290 million, for transferring personal data to the United States in reliance on standard contractual clauses, on the basis that the personal data was not sufficiently protected in the United States. In light of all of these developments, it is expected that the uncertainty surrounding data transfers will continue into 2026 and beyond.</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Additionally, there is member state fragmentation related to the handling of personal data which increases the compliance burden and risk in a theoretically harmonized region. For example, on the topic of transfers, in 2025 the German Supervisory Authorities published guidance on the international transfer of clinical trials data setting out a two stage assessment process to establish lawfulness of such transfers. This guidance is only applicable in Germany.</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the legal challenges continue and/or supervisory authorities increase their enforcement activities, we could suffer additional costs, complaints, and/or regulatory scrutiny,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and generally increase compliance risk.</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GDPR also provides that E.E.A. member states may make their own further laws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This fact may lead to greater divergence on the law that applies to the processing of such data types across the E.E.A. and United Kingdom, compliance with which as and where applicable may increase our costs and could increase our overall risk.</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past 12 months, the European data protection authorities continue to be active in seeking to regulate Artificial Intelligence. Since the AI EU Act recently entered into force on August 1, 2024 and given the staged implementation through to 2027, we expect to see this focus continue and so any use of A.I. within the healthcare sector will be subject to a heightened risk under European privacy laws.</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the United Kingdom is no longer a member of the European Union, there is increasing scope for divergence in application, interpretation and enforcement of the data protection law between the United Kingdom and European Union. On June 19, 2025, the U.K. Government passed the Data (Use and Access) Act 2025. This legislation makes minor amendments to various aspects of the United Kingdom’s data protection regime. The law resulted in only very minor changes to the substance of the U.K. GDPR (though these do include helpful provisions related to the collection of consent for scientific research, and the reuse of personal data for the same). The law also significantly increased the maximum fines for the U.K.’s direct marketing and ‘cookie compliance’ rules, from the current £500,000 to GDPR levels. Otherwise, the United Kingdom remains very closely aligned with the European Union regarding terms of privacy law. However, any changes relating to the U.K. and E.U. position regarding aspects of data protection law may lead to additional compliance costs and could increase our overall risk.</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Alongside the GDPR, the European Union has passed a number of new laws affecting data and security, including the Data Governance Act, the Network and Information Security (NIS) 2 Directive and the European Health Data Space, or EHDS, Regulation. The EHDS Regulation in particular is likely to create additional compliance burden, for example, by requiring us to make health data available to other organizations in this sector (in an anonymized form) and to the patients themselves; as well as comply with other individual rights including data portability, rectification and insertion, and provide privacy controls and opt out mechanisms. The EHDS entered into force on March 26, 2025, with phased implementation due to take place between 2027 and 2031. The consequences of failing to comply are significant: regulators are empowered to apply fines of up to €20 million or 4% of total annual worldwide turnover (whichever is larger); ‘proportionate’ daily financial penalties can be applied where the deadline for a response has been breached; and an entity can be excluded from accessing data of other organizations for a period of up to 5 years (though they will still be expected to provide data and otherwise comply with the regulation). We are likely to have to devote substantial resources to understanding and preparing to meet the technical and organizational requirements (many details of which are yet to be provided by the European Commission) ahead of implementation.</w:t>
      </w:r>
    </w:p>
    <w:p>
      <w:pPr>
        <w:spacing w:after="0" w:line="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These laws and regulations are increasing in complexity and number, and new regulatory guidance and case law means the regulatory landscape changes frequently. Complying with these numerous, complex and often changing regulations is expensive and difficult. Failure by us, any partners, our service providers, or our employees or contractors to comply with the GDPR could result in regulatory investigations, enforcement notices and/or fines of up to the higher of €20 million or up to 4% of our total worldwide annual turnover. Further, following the withdrawal of the United Kingdom from the European Union, we now have to comply with the GDPR and U.K. GDPR separately, each regime separately having the ability to fine up to the higher of €20 million / £17.5 million or 4% of global turnover. In addition, the value of fines issued by supervisory authorities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has increased substantially in recent years: numerous multi-million € / £ fines have been issued by supervisory authorities across the E.E.A. and by the U.K. Information Commissioner’s Office, and the first €1.2 billion fine was issued against Meta by the Irish supervisory authority in May 2023. Guidance from the European Data Protection Board has indicated that turnover will be taken into account when defining the starting amount of fines, resulting in higher fines for larger organizations. Therefore, we expect the amount of fines to continue to rise.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w:t>
      </w:r>
    </w:p>
    <w:p>
      <w:pPr>
        <w:spacing w:after="0" w:line="29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to the foregoing, a breach of privacy laws or data security laws, particularly those resulting in a significant cybersecurity incident or breach involving the misappropriation, corruption, modification, loss or other unauthorized use or disclosure of sensitive or confidential patient or consumer information, could have a material adverse effect on our business, reputation and financial condition. In addition, widely publicized security breaches are increasingly being followed in the European Union by attempts to bring large ‘class action’ style claims; this trend is likely to continue in light of recent decisions by the European Court of Justice confirming data subjects’ right to compensation even for minor non-material damage. For example, in January 2025 the European Court of Justice awarded an individual compensation of €400 for non-material damage suffered as a result of his personal data being transferred to the United States. Although ‘class action’ style claims have yet to succeed in any significant compensation orders, defending these claims is costly and could still result in substantial liability for compensation and legal fees. As a data controller, we are accountable for any third-party service providers we engage to process personal data on our behalf, including our CROs. We attempt to mitigate the associated risks by performing security assessments and due diligence of our vendors and requiring all such third-party providers with data access to sign agreements, and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fines, penalties and/or other enforcement actions outlined above.</w:t>
      </w:r>
    </w:p>
    <w:p>
      <w:pPr>
        <w:spacing w:after="0" w:line="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212529"/>
        </w:rPr>
        <w:t>In addition, various U.S. states have enacted privacy and security laws and regulations, and such laws and regulations vary from state to state, constantly evolve, and remain subject to significant change. In some cases, such laws and regulations can impose more restrictive requirements than HIPAA and other U.S. federal laws, thus complicating compliance efforts. Several U.S. federal and state laws establish additional requirements for protecting the privacy and security of health information that is not protected by HIPAA. For instance, Washington State passed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Parts 46, 50 and 56. Notably, the “My Health My Data” Act contains a private right of action. In addition, Nevada recently enacted a consumer health data privacy bill, SB 370, which also regulates “consumer health data” and shares many similarities with Washington’s “My Health My Data” Act, Connecticut recently amended its comprehensive privacy law to include heighted regulation of “consumer health data,” and Texas amended its comprehensive privacy law to include heightened regulation of biometric and genetic data. Additional states may adopt health-specific privacy laws that could impact our business activities and our collection and handling of health-related data.</w:t>
      </w:r>
    </w:p>
    <w:p>
      <w:pPr>
        <w:spacing w:after="0" w:line="8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212529"/>
        </w:rPr>
        <w:t>More broadly, various U.S. state laws regulate the processing of personal information. For example, California has enacted the California Consumer Privacy Act, or CCPA, which went into effect in January of 2020.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categories of health information, if we become subject to the CCPA, our compliance costs and potential liability with respect to other personal information we collect about California residents may increase. Additionally, the CCPA was significantly amended by the California Privacy Rights Act, or the CPRA, which, among other things, established the California Privacy Protection Agency, a new regulatory authority tasked with enacting new regulations under the CPRA and expanded enforcement authority. In addition to California, more U.S. states have enacted and are continuing to enact similar legislation, all of which are likely to increase our regulatory compliance costs and risks, exposure to regulatory enforcement action, and other liabilities if we become subject to such laws in the future.</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(including those described above), our reputation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may be harmed and we may be forced to change the way we operate. That could require us to incur significant expenses or to discontinue certain services, which could negatively affect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introduces emerging risks and challenges to our business.</w:t>
      </w:r>
    </w:p>
    <w:p>
      <w:pPr>
        <w:spacing w:after="0" w:line="121" w:lineRule="exact"/>
        <w:rPr>
          <w:sz w:val="20"/>
          <w:szCs w:val="20"/>
          <w:color w:val="auto"/>
        </w:rPr>
      </w:pPr>
    </w:p>
    <w:p>
      <w:pPr>
        <w:jc w:val="both"/>
        <w:ind w:firstLine="371"/>
        <w:spacing w:after="0" w:line="253" w:lineRule="auto"/>
        <w:rPr>
          <w:sz w:val="20"/>
          <w:szCs w:val="20"/>
          <w:color w:val="auto"/>
        </w:rPr>
      </w:pPr>
      <w:r>
        <w:rPr>
          <w:rFonts w:ascii="Times New Roman" w:cs="Times New Roman" w:eastAsia="Times New Roman" w:hAnsi="Times New Roman"/>
          <w:sz w:val="18"/>
          <w:szCs w:val="18"/>
          <w:color w:val="auto"/>
        </w:rPr>
        <w:t>Artificial intelligence, or AI, is increasingly shaping industries worldwide, including life sciences and healthcare. We have implemented certain AI technologies into portions of our operations to improve efficiency, support research and analysis, and drive innovation, and we may further expand our use of AI as the technology continues to evolve. However, AI technologies also introduce risks and challenges that could impact our business. AI algorithms may be flawed, datasets may be insufficient or biased, and ineffective AI development or deployment could lead to compliance violations, cybersecurity risks, and other adverse consequences. While we have implemented controls intended to limit the risk that proprietary or confidential information is used to train AI models, no such controls can completely eliminate the inherent risks associated with AI, including potential breaches of confidentiality and privacy obligations, non-compliance with applicable laws and regulations, threats to intellectual property rights, including not only the leakage of our proprietary information but also the risk that AI-generated outputs may infringe third-party intellectual property, and the misuse of personal information, including protected health information. Additionally, potential future overreliance on AI or dependence on a specific model or vendor could limit our flexibility, increase costs, or expose us to operational risks if the AI provider modifies or discontinues its services, or experiences service interruptions or security incidents. Any of these issues could materially and adversely affect our business, financial condition, and results of operations.</w:t>
      </w:r>
    </w:p>
    <w:p>
      <w:pPr>
        <w:spacing w:after="0" w:line="84"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8"/>
          <w:szCs w:val="18"/>
          <w:color w:val="auto"/>
        </w:rPr>
        <w:t>AI technologies, including generative AI, are complex and rapidly evolving, and we face competition from other companies, as well as an uncertain and evolving regulatory landscape. Several jurisdictions around the globe, including Europe and the United States, have already proposed or enacted laws governing AI, and we may need to commit significant resources to maintain business practices that comply with the evolving regulatory landscape and adapt our systems and processes as new requirements are implemented. Our competitors or other third parties may incorporate AI into their products more quickly and successfully than we do, which could impair our ability to compete effectively and adversely affect our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ProTide candidates over other potential candidates. These decisions may prove to have been wrong and may adversely affect our performance.</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ProTides to pursue and the resources to allocate to each. Our decisions concerning the allocation of research, collaboration, management and financial resources toward particular ProTides or therapeutic areas may not lead to the development of viable commercial products and may divert resources away from better opportunities. Similarly, our decisions to delay, terminate or collaborate with third parties in respect of product development programs may also prove not to be optimal and could cause us to miss valuable opportunities. If we make incorrect determinations regarding the market potential of our ProTides or misread trends in the biopharmaceutical industry, in particular for our lead ProTides, then our business may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technology platform to build a pipeline of additional ProTide candidates.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use and expand our proprietary ProTide technology to build a pipeline of additional ProTide candidates and progress these ProTide candidates through clinical development for the treatment of cancer. Although our research and development efforts to date have resulted in a pipeline of ProTide candidates directed at the treatment of many solid tumors and hematological malignancies, we may not be able to develop ProTide candidates that are safe and effective.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Marketing Approval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marketing approvals, we will not be able to commercialize our product candidates and our ability to generate revenue will be impaired.</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These requirements include submissions of safety and other post-marketing information and reports, registration and listing requirements, current good manufacturing practice, or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 Before we can commercialize any of our product candidates, each such product candidate must be approved by the FDA pursuant to an NDA in the United States, by the EMA pursuant to an MAA in the European Union, and by similar regulatory authorities outside the United States prior to commercialization.</w:t>
      </w:r>
    </w:p>
    <w:p>
      <w:pPr>
        <w:spacing w:after="0" w:line="7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limited experience in planning and conducting the clinical trials required for marketing approvals, and we expect to rely on third-party CROs to assist us in this process. Obtaining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and in many cases the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Because a number of our clinical trials will be in combination with other approved therapies, there may also be undesirable or unintended side effects, toxicities or other characteristics resulting from the other therapy or from its combination with our product candidate.</w:t>
      </w:r>
    </w:p>
    <w:p>
      <w:pPr>
        <w:spacing w:after="0" w:line="8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because our product candidates are transformations of nucleoside analogs, including those that are approved chemotherapeutic agents and those that have never been approved as chemotherapeutic agents, our product candidates could be negatively impacted by the identification of any new undesirable or unintended side effects, toxicities or other characteristics in such existing nucleoside analogs, in particular in those that have never been approved as chemotherapeutic agents.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new drug approval process and may refuse to accept any application or may decide that our data are insufficient for approval and require additional preclinical studies or clinical trials. Our product candidates could be delayed in receiving, or fail to receive, marketing approval for many reasons, including the following:</w:t>
      </w:r>
    </w:p>
    <w:p>
      <w:pPr>
        <w:spacing w:after="0" w:line="68" w:lineRule="exact"/>
        <w:rPr>
          <w:sz w:val="20"/>
          <w:szCs w:val="20"/>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require that we perform additional clinical trials, including toxicology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to obtain marketing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or our clinical or commercial product candidates may be unable to meet the FDA’s cGMP requirements or similar requirements of foreign regulatory authorities;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requirements or policies of the FDA or comparable foreign regulatory authorities may significantly change in a manner rendering our clinical data insufficient for approval.</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grant approval contingent on the performance of costly post-marketing clinical trials, may approve a product candidate with restrictions on distribution or other REMS elements,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impaired.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marketing approval, limit the commercial profile of an approved label, or result in significant negative consequences following marketing approval, if any.</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the FDA or other regulatory authorities to interrupt, delay or halt our clinical trials and could result in more restrictive labels or the delay or denial of marketing approval by the FDA or other regulatory authorities of our product candidates.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also affect patient recruitment or the ability of enrolled patients to complete the trial or result in potential product liability claims.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drugs after such approval, a number of potentially significant negative consequences could result, including:</w:t>
      </w:r>
    </w:p>
    <w:p>
      <w:pPr>
        <w:spacing w:after="0" w:line="72"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or comparable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 after they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the patient profile in the indications for which we are currently developing our product candidates, with many patients already seriously ill at the time of initiation of treatment, may result in an increased risk of claims that undesirable side effects or poor prognoses or outcomes are related to our product candidates. Regardless of whether or not such side effects or prognoses or outcomes are ultimately determined to be related to our product candidates, the claims themselves could result in some or all of the foregoing negative consequences.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FDA Fast Track Designation. The FDA has broad discretion whether to grant this designation.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drug approval.</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activities such as the manufacturing processes, labeling, packaging, distribution, adverse event reporting, storage, advertising, promotion and recordkeeping for the product will be subject to extensive and ongoing regulatory requirements. The FDA or a comparable foreign regulatory authority may also impose requirements for costly post-marketing nonclinical studies or clinical trials and surveillance programs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a way that is inconsistent with the FDA-approved labeling, we may be subject to enforcement actions or prosecution arising from that off-label promotion. Violations of the FD&amp;C Act relating to the promotion of prescription drugs may also lead to investigations alleging violations of federal and state healthcare fraud and abuse and other laws, as well as state consumer protection laws.</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Drug manufacturers and manufacturers’ facilities are also required to continuously comply with FDA and comparable foreign regulatory authority requirements, including ensuring that quality control and manufacturing procedures conform to cGMP regulations and corresponding foreign regulatory manufacturing requirements. As such, we and our third-party suppliers will be subject to continual review and inspections to assess compliance with cGMP and adherence to commitments made in any NDA or other marketing authorization application.</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54"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 or a requirement to add new safety information or warnings in product labeling;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 or clinical holds on ongoing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can also result in significant financial penalties. Similarly, failure to comply with E.U. requirements regarding the protection of personal information can also lead to significant penalties and sanctions.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FDA’s or other regulatory authorities’ policies may change and additional government regulations may be enacted that could prevent, limit or delay marketing approval of our product candidates. We cannot predict the likelihood, nature or extent of government regulation that may arise from future legislation, policymaking,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drugs on the market, once we begin commercializing our product candidates, we will be subject to additional healthcare statutory and regulatory requirements and enforcement by the U.S. federal and state governments and the foreign governments in the jurisdictions in which we conduct our business. Healthcare providers, physicians and third-party payors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U.S. federal and state healthcare laws and regulations include the following:</w:t>
      </w:r>
    </w:p>
    <w:p>
      <w:pPr>
        <w:spacing w:after="0" w:line="81" w:lineRule="exact"/>
        <w:rPr>
          <w:sz w:val="20"/>
          <w:szCs w:val="20"/>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paying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in order to have committed a violation;</w:t>
      </w:r>
    </w:p>
    <w:p>
      <w:pPr>
        <w:spacing w:after="0" w:line="7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laws, including, without limitation, the civil False Claims Act (which can be enforced by private citizens through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under the Physician Payments Sunshine Act, enacted as part of the Affordable Care Act, or ACA, require manufacturers of drugs, devices, biologics and medical supplies that are reimbursable under Medicare, Medicaid, or the Children’s Health Insurance Program to report to the Centers for Medicare &amp; Medicaid Services, or CMS, information related to payments and other transfers of value to physicians, teaching hospitals, and certain advanced non-physician health care practitioners, as well as and the ownership and investment interests of physicians and their immediate family members in such manufacturers;</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certain circumstances, including state security breach notification laws, state health information privacy laws and federal and state consumer protection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8"/>
          <w:szCs w:val="18"/>
          <w:color w:val="auto"/>
        </w:rPr>
        <w:t>laws, many of which differ from each other in significant ways and often are not preempted by HIPAA, thus complicating compliance efforts.</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of our products from government funded healthcare programs, such as Medicare and Medicaid, additional reporting requirements and oversight if we become subject to a corporate integrity agreement or similar agreement to resolve allegations of non-compliance with these laws, reputational harm, and the curtailment or restructuring of our operations. In addition, if any of the physicians or other healthcare providers or entities with whom we expect to do business are found to be not in compliance with applicable laws, they may be subject to significant criminal, civil or administrative sanctions, including exclusions from government funded healthcare programs.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there have been and continue to be a number of initiatives at the U.S. federal and state levels that seek to reduce healthcare costs and improve the quality of healthcare. For example, in March 2010, the ACA was enacted in the United States, substantially changing the way healthcare is financed by both governmental and private insurers and significantly affecting the pharmaceutical industry. The ACA contained a number of provisions, including those governing enrollment in federal healthcare programs, reimbursement adjustments and changes to fraud and abuse laws. As another example, the 2021 Consolidated Appropriations Act signed into law on December 27, 2020 incorporated extensive health care provisions and amendments to existing laws, including a requirement that all manufacturers of drugs products covered under Medicare Part B report the product’s average sales price to the federal government.</w:t>
      </w:r>
    </w:p>
    <w:p>
      <w:pPr>
        <w:spacing w:after="0" w:line="8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As another example, on March 11, 2021, former President Biden signed the American Rescue Plan Act of 2021 into law, which eliminates the statutory Medicaid drug rebate cap, currently set at 100% of a drug’s average manufacturer’s price, or AMP, for single source and innovator multiple source drugs, which began on January 1, 2024. 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or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(which were first due in 2023); and replaces the Part D coverage gap discount program with a new manufacturer discount program (which began in January 2025). The IRA permits CMS to implement many of these provisions through guidance, as opposed to regulation, for the initial years. CMS has begun to implement these new authorities, announcing the first round of negotiated “maximum fair prices” for the first 10 drugs in August 2024, which became effective as of January 1, 2026 (payment year 2026). The second round of negotiated prices for 15 drug products was announced in November 2025, and CMS published the next group of drugs selected for negotiation in January 2026. However, the IRA’s impact on the biopharmaceutical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in the future. For that and other reasons, it is currently unclear how the IRA will be effectuated, or the impact of the IRA on our business.</w:t>
      </w:r>
    </w:p>
    <w:p>
      <w:pPr>
        <w:spacing w:after="0" w:line="11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individual states in the U.S. have also passed legislation and implemented regulations designed to control pharmaceutical product pricing, including price or patient reimbursement constraints, discounts, restrictions on certain product access and marketing cost disclosure and transparency measures, and regional healthcare authorities and individual hospitals are increasingly using bidding procedures to determine what pharmaceutical products and which suppliers will be included in their prescription drug and other healthcare programs. In December 2020, the U.S. Supreme Court held unanimously that federal law does not preempt the states’ ability to regulate pharmacy benefit managers, or PBMs, and other members of the health care and pharmaceutical supply chain, an important decision that has led to more aggressive efforts by states in this area. The U.S. Federal Trade Commission, or FTC,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including in the 2025-2026 congressional session where PBM reform continues to be a bipartisan priority. During the 2024-2025 session, numerous PBM reforms were considered in both the Senate and the House of Representatives; they included diverse legislative proposals such as eliminating rebates; divorcing service fees from the price of a drug, discount, or rebate; prohibiting spread pricing; limiting administrative fees; requiring PBMs to report formulary placement rationale; and promoting transparency. Significant efforts to change the PBM industry as it currently exists in the U.S. may affect the entire pharmaceutical supply chain and the business of other stakeholders, including pharmaceutical developers like us.</w:t>
      </w:r>
    </w:p>
    <w:p>
      <w:pPr>
        <w:spacing w:after="0" w:line="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 Notably, in 2023 the European Commission issued a proposal to revise and replace the existing general pharmaceutical legislation for the European Union, which was finalized in December 2025. These revisions will significantly change several aspects of drug development and approval in the European Union, including regulatory and market exclusivity regimes applicable to new medicinal products.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may result in more rigorous coverage criteria and in additional downward pressure on the price that we will receive for any approved product.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any of our products for which we receive marketing approval.</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Legislative and regulatory proposals have also been made in recent years to expand post-approval requirements and restrict sales and promotional activities for pharmaceutical products, and the FDA’s statutory authorities are periodically amended by Congress. For example, Congress provided the FDA with additional authorities related to the accelerated approval pathway for human drugs and biologics. Under these amendments to the FD&amp;C Act, the agency may require a sponsor of a product granted accelerated approval to have a confirmatory trial underway prior to approval. The amendments also give the FDA the option of using expedited procedures to withdraw product approval if the sponsor’s confirmatory trial fails to verify the claimed clinical benefits of the product. We cannot be sure whether additional legislative changes will be enacted, or whether the FDA regulations, guidance or interpretations will be changed or what the impact of such changes on the marketing approvals, if any, of our product candidates, may be.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In order to market and sell our products in the European Union and many other jurisdictions, we or our third-party collaborators must obtain separate marketing approvals and comply with numerous and varying regulatory requirements. The approval procedure varies among countries and economic areas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countries or jurisdictions or by the FDA. Additionally, a failure or delay in obtaining marketing approval in one jurisdiction may have a negative effect on the marketing approval process in others. Approval procedures vary among jurisdictions and can involve requirements and administrative review periods different from, and greater than, those in the United States, including additional preclinical studies or clinical trials.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receive applicable marketing approvals, our target market will be reduced and our ability to realize the full market potential of our product candidates will be harmed. We may not be able to file for marketing approvals and may not receive necessary approvals to commercialize our products in any market. If we obtain approval of our product candidates and ultimately commercialize our product candidates in foreign markets, we would be subject to additional risks and uncertainties, including:</w:t>
      </w:r>
    </w:p>
    <w:p>
      <w:pPr>
        <w:spacing w:after="0" w:line="80"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no protection on pharmaceutical products or their use in some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unwillingness of courts in some foreign jurisdictions to enforce patents even when valid and infringed in that country;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pre-grant or post-grant review proceedings in certain foreign countries that allow a petitioner to hold up patent rights for an extended period or permanently by challenging the patent filing at the patent office of that country;</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 compulsory license issued by a foreign country that allows a third-party entity or a government to manufacture, use or sell our products with a government-set low royalty to us;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restrictions on trade or other protectionist measures;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financial results would suffer.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U.K. Bribery Act, the U.S. Foreign Corrupt Practices Act and other anti-corruption laws, as well as export control laws, import and customs laws, trade and economic sanctions laws and other laws governing our operations.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the Bribery Act, the Foreign Corrupt Practices Act, or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soliciting, requesting, or providing, directly or indirectly, improper or prohibited payments, or anything else of value, to or from persons in the public or private sector to obtain or retain business or gain some other business advantage.</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Bribery Act, we may also be liable for failing to prevent a person associated with us from committing a bribery offense. We and those acting on our behalf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Compliance with the Bribery Act, the FCPA and these other laws is expensive and difficult, particularly in countries in which corruption is a recognized problem. In addition, anti-corruption laws present particular challenges in the pharmaceutical industry, because, in many countries, hospitals are operated by the government, and doctors and other hospital employees are considered foreign officials under anti-corruption laws. Certain payments to health care providers in connection with clinical trials and other work have been deemed to be improper payments to government officials and have led to enforcement actions.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operations are also subject to the U.K. Criminal Finances Act 2017, or CFA 2017, which contains offences of failing to prevent the facilitation of tax evasion in the United Kingdom and abroad. This legislation makes organizations accountable for any part played by their personnel in deliberately and dishonestly facilitating tax evasion by others, where those organizations have not made reasonable efforts to prevent such facilitation.</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States and the United Kingdom,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Such Trade Control laws include restrictions or prohibitions on the sale or supply of certain products and services to embargoed countries or sanctioned countries, governments, persons and entities.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the CFA 2017 or other legal requirements, including Trade Control laws. If we are not in compliance with the Bribery Act, the FCPA, the CFA 2017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the CFA 2017, other anti-corruption laws or Trade Control laws by United States, United Kingdom or other authorities could also have an adverse impact on our reputation, our business, results of operations and financial condition. Further, the failure to comply with laws governing international business practices may result in substantial civil and criminal penalties and suspension or debarment from government contracting.</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and the operations of our contracted third parties, may involve the use of hazardous and flammable materials, including chemicals and biological materials. The risk of contamination or injury from these materials cannot be eliminated. In the event of contamination or injury resulting from the use of hazardous materials, we could be held liable for any resulting damages, and the amount of the liability could exceed our resources or those of our contracted third parties. We also could incur significant costs associated with civil or criminal fines and penalties for failure to comply with such laws and regulations.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this insurance may not provide adequate coverage. We do not maintain insurance for environmental liability or toxic tort claims that may be asserted against us. In addition, we may incur substantial costs in order to comply with current or future environmental, health and safety laws and regulations. These current or future laws and regulations may impair our discovery, preclinical development or production efforts. Our failure to comply with these laws and regulations also may result in substantial fines, penalties or other sanctions.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ectPr>
          <w:pgSz w:w="11900" w:h="16838" w:orient="portrait"/>
          <w:cols w:equalWidth="0" w:num="1">
            <w:col w:w="11240"/>
          </w:cols>
          <w:pgMar w:left="320" w:top="1089" w:right="339" w:bottom="1440" w:gutter="0" w:footer="0" w:header="0"/>
        </w:sectPr>
      </w:pP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conduct our clinical trials for our product candidates. successfully carry out their contractual duties, comply with regulatory requirements or meet expected deadlines, we marketing approval for or commercialize our product candidates, and our business could be substantially harmed.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these third parties do not may not be able to obtain</w:t>
      </w:r>
    </w:p>
    <w:p>
      <w:pPr>
        <w:spacing w:after="0" w:line="267" w:lineRule="exact"/>
        <w:rPr>
          <w:sz w:val="20"/>
          <w:szCs w:val="20"/>
          <w:color w:val="auto"/>
        </w:rPr>
      </w:pPr>
    </w:p>
    <w:p>
      <w:pPr>
        <w:sectPr>
          <w:pgSz w:w="11900" w:h="16838" w:orient="portrait"/>
          <w:cols w:equalWidth="0" w:num="2">
            <w:col w:w="9100" w:space="0"/>
            <w:col w:w="2140"/>
          </w:cols>
          <w:pgMar w:left="320" w:top="1089" w:right="339" w:bottom="1440" w:gutter="0" w:footer="0" w:header="0"/>
          <w:type w:val="continuous"/>
        </w:sect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contract laboratories and other third parties, such as CROs, to conduct or otherwise support clinical trials for our product candidates. We expect to rely heavily on these parties for performance of clinical trials for our product candidates. Nevertheless, we will be responsible for ensuring that each of our clinical trials is conducted in accordance with the applicable protocol, legal and regulatory requirements and scientific standards.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our investigators, and our CROs will be required to comply with regulations, including good clinical practice, or GCP, and other related requirements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GCPs through periodic inspections of clinical trial sponsors, principal investigators and trial sites. If we, our investigators or our CROs fail to comply with applicable GCPs, the clinical data generated in our clinical trials may be called into question and the FDA or comparable foreign regulatory authorities may require us to perform additional clinical trials before considering our marketing applications for approval. We cannot assure you that, upon inspection, the FDA will determine that any of our future clinical trials will comply with GCPs.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produced under cGMPs. Our failure or the failure of our investigators or CROs to comply with these requirements may require us to repeat clinical trials, which would delay the marketing approval process and could also subject us to enforcement action. We also are required to register certain clinical trials and post the results of such completed clinical trials involving product candidates for which we receive marketing approval on a government-sponsored database, ClinicalTrials.gov, within certain timeframes. Failure to do so can result in fines, adverse publicity and civil and criminal sanctions.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Although we intend to design the clinical trials for our product candidates, CROs and individual site investigators will administer the clinical trials on our behalf.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errors in the design, management or retention of our data or data systems;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These factors may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shipment of our product candidates for preclinical studies and clinical trials and expect to continue to do so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and shipment of our product candidates for preclinical studies and clinical trials, as well as for the commercial manufacture of our drugs if any of our product candidates receive marketing approval.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facilities used to manufacture our product candidates must be evaluated by the FDA pursuant to inspections that will be conducted after we submit our marketing applications to the FDA to ensure compliance with cGMP. We do not control the manufacturing and shipment process of, and will be completely dependent on, our contract manufacturers for compliance with cGMPs in connection with the manufacture and shipment of our product candidates. If our contract manufacturers cannot successfully manufacture and ship material that conforms to our specifications and the regulatory requirements of the FDA or others, we will not be able to use the products produced at their manufacturing facilities. In addition, we have no control over the ability of our contract manufacturers to maintain adequate quality control, quality assurance and qualified personnel. If the FDA or a comparable foreign regulatory authority finds that these facilities do not comply with cGMP, we may need to find alternative manufacturing facilities, which would significantly impact our ability to develop, obtain marketing approval for or market our product candidates, if approved. Further, our failure, or the failure of our third-party manufacturers, to comply with these or other applicable regulations could result in sanctions being imposed on us, including clinical holds, fines, injunctions, civil penalties, delays, suspension or withdrawal of approvals, license revocation, seizures or recalls of product candidates or drugs, if approved, operating restrictions and criminal prosecutions.</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product candidates and any other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and shipment of our product candidates or drugs may adversely affect our future profit margins and our ability to commercialize any drugs that receive marketing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order to conduct large-scale clinical trials of our product candidates, we will need to manufacture them in large quantities. We, or any of our manufacturing partners, may be unable to successfully increase the manufacturing capacity for any of our product candidates in a timely or cost-effective manner, or at all. In addition, quality issues may arise during scale-up activities. If we, or any manufacturing partners, are unable to successfully scale up the manufacture of our product candidates in sufficient quality and quantity, the development, testing, and clinical trials of that product candidate may be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delayed or infeasible, and regulatory approval or commercial launch of any resulting product may be delayed or not obtained, which could significantly harm our business.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which we rely for the supply of the active pharmaceutical ingredients, formulations, and drug products for certain of our product candidates are our sole sources of supply and have limited capacity, and the loss of any of these suppliers could harm our business.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API, formulations and drug products for certain of our product candidates are supplied to us from single-source suppliers with limited capacity. Our ability to successfully develop our product candidates, and to ultimately supply our commercial drugs in quantities sufficient to meet the market demand, depends in part on our ability to obtain the API, formulations and drug products in accordance with cGMP requirements and in sufficient quantities for commercialization and clinical trials.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do not know whether our suppliers will be able to meet our demand, either because of the nature of our agreements with those suppliers, our current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API, formulations and drug products prior to submission of an NDA to the FDA or an MAA to the EMA. Establishing additional or replacement suppliers for the API, formulations and drug products for our product candidates, if required, may not be accomplished quickly. If we are able to find a replacement supplier, such replacement supplier would need to be qualified, or we may have to perform comparative studies comparing the drug product from a new manufacturer to the product used in any completed clinical trials. All of this may require additional marketing approval, which could result in further delay. While we seek to maintain adequate inventory of the API, formulations and drug products for our product candidates, any interruption or delay in the supply of components or materials, or our inability to obtain such API, formulation and drug product from alternate sources at acceptable prices in a timely manner could impede, delay, limit or prevent our development efforts.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to discover or develop product candidates. If these collaborations are not successful, our business could be adversely affected.</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and may potentially in the future, enter into collaborations with third parties. In any collaboration that we may enter into, we would expect to have limited control over the amount and timing of resources that our collaborators dedicate to the collaboration efforts, including, if applicable, the development of ProTides and our ability to identify and develop additional ProTides. Our ability to generate potential additional ProTides from any such arrangements will depend on our and our collaborators’ abilities to successfully perform the functions assigned to each of us in these arrangements. In addition, our collaborators have the ability to abandon research or development projects and terminate applicable agreements. Our prior collaboration and any collaborations we enter into in the future, may pose several risks, including the following:</w:t>
      </w:r>
    </w:p>
    <w:p>
      <w:pPr>
        <w:spacing w:after="0" w:line="79"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trials conducted as part of, or as a result of, these collaborations may not be successful;</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or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Annual Report also apply to the activities of our collaborators.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and other organizations for the development and potential commercialization of our product candidates. These relationships, or those like them, may require us to incur non-recurring and other charges, increase our near- and long-term expenditures, issue securities that dilute our existing shareholders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and the terms and conditions of the proposed collaboration. If we license rights to product candidates, we may not be able to realize the benefit of such transactions if we are unable to successfully integrate them with our existing operations and strategy.</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license and collaboration agreement with Cardiff ProTides Ltd., we could lose rights to licensed and assigned intellectual property that are necessary for developing and commercializing certain potential product candidates.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entered into an exclusive, worldwide assignment, license and collaboration agreement with Cardiff ProTides Ltd., or Cardiff ProTides, for certain of the patents related to Acelarin and other potential ProTides. This agreement imposes various development, commercialization, royalty payment, diligence and other obligations on us. Among other obligations, we are specifically required to: pay Cardiff ProTides potential milestone payments; pay Cardiff ProTides royalties equal to mid- to high-single digit percentages of sales of such products, including sales by sublicensees; use commercially reasonable efforts to bring products to market; provide development and financial reports to Cardiff ProTides; file, prosecute, defend and maintain patent rights; indemnify Cardiff ProTides against certain claims and maintain insurance coverage; and direct future medicinal chemistry work related to certain compounds to Cardiff ProTides on a preferential basis.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we breach any of these obligations, Cardiff ProTides may have the right to terminate the license and require us to assign back to Cardiff ProTides the intellectual property which was assigned to us under this agreement, which would result in our being unable to develop, manufacture and sell products that are covered by the licensed intellectual property or the assigned intellectual property or in a competitor’s gaining access to the licensed intellectual property or the assigned intellectual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and potential advantages and disadvantages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associated with our products or with any product that is used in combination with our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products or favorable publicity about competing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products for the same indications as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third-party coverage and adequate reimbursement, including patient cost-sharing programs such as copays and deductibles; and</w:t>
      </w:r>
    </w:p>
    <w:p>
      <w:pPr>
        <w:spacing w:after="0" w:line="12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treatments for cancer, including many major pharmaceutical and biotechnology companies. If NUC-7738 is approved, it would compete with (a) existing chemotherapies, (b) existing targeted therapies or immunotherapies and, if approved, targeted therapies or immunotherapies in clinical trials for the treatment of patients with cancer, and (c) multiple approved drugs or drugs that may be approved in the future for indications for which we may develop NUC-7738. If NUC-3373 is approved, it would compete with (a) existing chemotherapies, including 5-FU, (b) existing targeted therapies or immunotherapies and, if approved, targeted therapies or immunotherapies in clinical trials for the treatment of patients with cancer, and (c) multiple approved drugs or drugs that may be approved in the future for indications for which we may develop NUC-3373. Existing chemotherapies with which we may compete, including 5-FU and gemcitabine, are no longer under patent and are produced by numerous generic pharmaceutical manufacturers. As a result, these chemotherapies are and will continue to be substantially less expensive to patients than many other potential therapies, including our ProTide candidates, if approved.</w:t>
      </w:r>
    </w:p>
    <w:p>
      <w:pPr>
        <w:spacing w:after="0" w:line="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more convenient, less expensive or have fewer or less severe side effects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or slow our marketing approval. Some of the important competitive factors affecting the success of all of our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if approved, are likely to be their efficacy, safety, convenience, price and the availability of reimbursement from government and other third-party payors.</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studies,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and management personnel and in establishing clinical trial sites and patient registration for clinical trials, as well as in acquiring technologies complementary to, or necessary for, our programs.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drugs may become subject to unfavorable pricing regulations or third-party coverage and reimbursement policies.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81"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Our ability to successfully commercialize any product candidates, if approved, will depend in part on the extent to which coverage and adequate reimbursement for these product candidates and related treatments will be available from government authorities, private health insurers and other organizations. In the United States, the principal decisions about coverage and reimbursement for new medicines under Medicare are made by CMS, an agency within the U.S. Department of Health and Human Services, or HHS. Private payors ultimately determine which drugs they will cover and the amount of reimbursement they will provide for a covered drug. While there is no uniform system among payors for making coverage and reimbursement decisions, private payors tend to follow CMS to a substantial degree. It is difficult to predict what CMS will decide with respect to reimbursement. Reimbursement agencies in Europe may be more conservative than CMS. For example, a number of cancer drugs are generally covered and paid for in the United States but have not been approved for reimbursement in certain European countries. A primary trend in the U.S. healthcare industry and elsewhere is cost containment. Government authorities and third-party payors have attempted to control costs by limiting coverage and the amount of payments for particular drugs. Increasingly, third-party payors are requiring that drug companies provide them with predetermined discounts from list prices and are challenging the prices charged for drugs. We may also need to conduct expensive pharmacoeconomic studies, in addition to the costly studies required to obtain FDA or other comparable regulatory approvals, in order to demonstrate the medical necessity and cost-effectiveness of the product in order to secure coverage and reimbursement. We cannot be sure that coverage will be available for any product candidate that we commercialize and, if coverage is available, the level of payments.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In addition, as noted above, the IRA of 2022 included multiple provisions that may impact the prices of drug products that are both sold into the Medicare program and throughout the United States, including new authorities for CMS to negotiate certain drug prices. Separately, the Trump Administration announced the creation of a government website called TrumpRx, which will allow consumers to purchase certain drugs at reduced prices as negotiated between the drug manufacturers and the administration. As of January 2026, the Trump Administration had secured deals with 15 major drug manufacturers to offer certain drugs at most-favored-nation prices and other proposals related to such prices are also being explored by the Trump Administration. The impact of these various pricing-related initiatives on the pharmaceutical industry in the United States and on drug development activities remains uncertain.</w:t>
      </w:r>
    </w:p>
    <w:p>
      <w:pPr>
        <w:spacing w:after="0" w:line="9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States. Our inability to promptly obtain coverage and profitable payment rates from both government-funded and private payors for any approved drugs that we develop could compromise our operating results, our ability to raise capital needed to commercialize drugs and our overall financial condition.</w:t>
      </w:r>
    </w:p>
    <w:p>
      <w:pPr>
        <w:spacing w:after="0" w:line="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capability or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revenues.</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currently have no marketing capability or sales force, but we intend to commercialize or participate in the commercialization of our product candidates for which we receive regulatory approval in major markets, such as the United States and Europe. This may necessitate building a specialized sales force and other commercial capabilities in such markets. To achieve commercial success for any approved product candidate for which we retain sales and marketing responsibilities,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17"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product candidates that we develop ourselves. In addition, we may not be successful in entering into arrangements with third parties to sell and market our product candidates or may be unable to do so when needed or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product candidates that receive marketing approval or any such commercialization may experience delays or limitations.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CROs or other contractors or consultants, may fail or suffer cybersecurity incidents, which could result in a material disruption of our product development programs, and could subject us to liability.</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utilize information technology systems and networks, including those licensed from and therefore operated and hosted by third parties, to process, transmit and store electronic information in connection with our business activities. As the use of digital technologies has increased, cybersecurity incidents, including deliberate attacks and attempts to gain unauthorized access to computer systems and networks, have increased in frequency and sophistication, and are becoming increasingly difficult to detect. These threats pose a risk to the security of our systems and networks and the confidentiality, availability, reliability, adequacy, and integrity of our data. There can be no assurance that we will be successful in preventing cyber-attacks or successfully mitigating their effects.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third-party contractors and consultants are vulnerable to damage or disruption from hacking, computer viruses, malware, including ransomware, software bugs, unauthorized access, natural disasters, terrorism, war, and telecommunication, equipment, and electrical failures.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measures in place designed to prevent, and if necessary, to detect and respond to such cybersecurity incidents and breaches of privacy and security mandates. However, no such measures can provide absolute security, and our efforts to prevent, detect, respond to, or mitigate such incidents may not be successful or may be limited by factors beyond our control. While we have not, to our knowledge, experienced any significant system failure, accident, or material cybersecurity incident to date, if such an event were to occur and cause interruptions in our operations or the operations of those third parties with which we contract, it could result in legal harm and a material disruption of our programs and our business operations, as well as our financial condition. For example, the loss of clinical trial data from completed or ongoing clinical trials for any of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our product candidates could result in delays in our development and regulatory approval efforts and significantly increase our costs to recover or reproduce the data. Such a loss could also expose us to regulatory enforcement, civil liability and reputational damage. To the extent that any disruption or cybersecurity incident results in a loss of or damage to our data or applications, or inappropriate disclosure, loss, corruption, modification, or theft of confidential or proprietary information, personal data, clinical trial data, or health information, in addition to incurring liability, the further development of our product candidates could be delayed, or our competitive position could be compromised. Additionally, such disruptions or cybersecurity incidents could result in enforcement actions by United States, United Kingdom, or foreign regulatory authorities, regulatory penalties, and other legal liabilities such as but not limited to private litigation, the incurrence of significant remediation costs, disruptions to our development programs, business operations and collaborations, diversion of management efforts and damage to our reputation, all of which could harm our business and operations.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 If we are unable to obtain adequate insurance or are required to pay for liabilities resulting from a claim excluded from, or beyond the limits of, our insurance coverage, a material liability claim could adversely affect our financial condition.</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evaluation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any products that we may develop.</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our product liability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commercialize technology and products similar or identical to ours, and our ability to successfully commercialize our technology and products may be impaired. In addition, if we infringe the valid patent rights of others, we may be prevented from making, using or selling our products or may be subject to damages or penalties.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patents in the United States and other countries that adequately protect our proprietary technology and products. We seek to protect our proprietary position by filing patent applications in the United States and in foreign countries that cover our novel product candidates and their uses, pharmaceutical formulations and dosages, and processes for the manufacture of them. Our patent portfolio currently includes both patents and patent applications.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file and prosecute all necessary or desirable patent applications at a reasonable cost or in a timely manner. We may choose not to seek patent protection for certain innovations and may choose not to pursue patent protection in certain jurisdictions. Under the laws of certain jurisdictions, patents or other intellectual property rights may be unavailable or limited in scope. It is also possible that we will fail to identify patentable aspects of our research and development before it is too late to obtain patent protection.</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currently solely own or exclusively license our patents and patent applications and we have the right to control the prosecution of the in-licensed patent applications. In the future, we may choose to in-license additional patents or patent applications from third parties that we conclude are useful or necessary for our business goals. We may not have the right to control the preparation, filing, prosecution or maintenance of such patent applications. Therefore, if we do license additional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patents or patent applications in the future, these patents and applications may not be prosecuted and enforced in a manner consistent with the best interests of our business.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 Patent and Trademark Office, or USPTO, developed new regulations and procedures to govern administration of the Leahy-Smith Act, and many of the substantive changes to patent law associated with the Leahy-Smith Act, and in particular, the first to file provisions, became effective on March 16, 2013. The Leahy-Smith Act also created certain new administrative adversarial proceedings, discussed below.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in other countries.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particular, third parties, such as generics companies, may seek to develop or acquire intellectual property rights proximate to our patents, including with respect to formulation and process matters, and may be able to do so in a non-infringing manner. Additionally,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Likewise, a court could uphold and enforce a third-party patent that it rules we have infringed, which would subject us to damages or prevent us from making, using or selling our products.</w:t>
      </w:r>
    </w:p>
    <w:p>
      <w:pPr>
        <w:spacing w:after="0" w:line="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patent prosecution in the United States and in most foreign countries, a third party can submit prior art or arguments to the reviewing patent office to attempt to prevent the issuance of a competitor’s patent. For example, our pending patent applications may be subject to a third-party pre-issuance submission of prior art to the USPTO or Third Party Observations in Europe. Such submission may convince the receiving patent office not to issue the patent. In addition, if the breadth or strength of protection provided by our patents and patent applications is reduced by such third-party submission, it could affect the value of our resulting patent or dissuade companies from collaborating with us to license, develop or commercialize current or future product candidates. We may also seek to have issued patents re-issued for purposes of strengthening our patent position;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however, such requests for reissuance may not result in the issuance of the new patent and could result in loss of the originally issued patent.</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risks described here pertaining to our patents and other intellectual property rights also apply to any intellectual property rights that we currently license or may license in the future. In some cases, we may not have control over the prosecution, maintenance or enforcement of the patents that we license, and our licensors may fail to take the steps that we believe are necessary or desirable in order to obtain, maintain and enforce the licensed patents.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seeking to acquire intellectual property rights in our technology and products may be successful in securing such rights through the grant of patent applications in the United States and in other jurisdictions; if we are forced to defend our granted intellectual property rights for any of our product candidates, we may become involved in costly litigation or other administrative proceedings before the USPTO or comparable non-U.S. regulatory authorities, which could delay or prevent the development and commercialization of our current or future product candidates.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Biopharmaceutical drug development is inherently uncertain in a rapidly evolving technological environment such as ours in which there may be numerous patent applications pending in multiple jurisdictions at any given time, many of which are confidential when filed, with regard to the same or similar technologies. Any patents issued to third parties may contain claims that conflict with our patents and that may place restrictions on the commercial viability of our products and technologies. Challenging third-party intellectual property rights may require us to engage in costly patent litigation or other administrative proceedings before the USPTO, U.S. federal courts, or courts and patent offices in other jurisdictions. These proceedings could result in substantial expense and divert the time and attention of our management and technical personnel. If we choose not to challenge third-party intellectual property rights, or are unsuccessful in doing so, we may instead face patent infringement claims, which may also be costly and time-consuming to defend, particularly if we are required to establish the invalidity of a third party’s patents. In either case, these matters could impose significant costs and divert significant management and technical resources.</w:t>
      </w:r>
    </w:p>
    <w:p>
      <w:pPr>
        <w:spacing w:after="0" w:line="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adverse outcome of any such litigation or proceeding could subject us to significant liabilities to third parties, require disputed rights to be licensed from third parties (which licenses may not be available at all or on reasonable terms) or require us to cease using our technology, which could delay or prevent the development and commercialization of our current or future product candidates. If we engage in patent litigation or other administrative proceedings to defend our patents, there is no guarantee that we will be successful in defending our patents, which would result in a loss of the challenged patent right to us and thus adversely affect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administrative adversarial proceedings in the USPTO or in the patent offices of foreign countries brought by a third party to attempt to cancel or invalidate our patent rights, which could be expensive, time consuming and cause a loss of patent rights.</w:t>
      </w:r>
    </w:p>
    <w:p>
      <w:pPr>
        <w:spacing w:after="0" w:line="4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The Leahy-Smith Act created for the first time new procedures to challenge issued patents in the United States, including post-grant review and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proceedings, which some third parties have been using to cause the cancellation of selected or all claims of issued patents of competitors.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a patent with a priority date of March 16, 2013 or later, a petition for post-grant review can be filed by a third party in a nine-month window from issuance of the patent.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can be filed immediately following the issuance of a patent if the patent was filed prior to March 16, 2013.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can be filed after the nine-month period for filing a post-grant review petition has expired for a patent with a priority date of March 16, 2013 or later. Post-grant review proceedings can be brought on any ground of challenge, whereas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can only be brought to raise a challenge based on published prior art. These administrative adversarial actions at the USPTO review patent claims without the presumption of validity afforded to U.S. patents in lawsuits in U.S. federal courts, use a lower burden of proof than used by U.S. federal courts and interpret patent claims using a “broadest reasonable construction” instead of “plain and ordinary meaning,” which is used in court litigation. Because of these differences between U.S. administrative and judicial adversarial patent proceedings, it is generally considered easier for a competitor or third party to have a U.S. patent cancelled in a patent office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than invalidated in a litigation in a U.S. federal court. If any of our patents are challenged by a third party in such a U.S. patent office proceeding, there is no guarantee that we will be successful in defending the patent, which would result in a loss of the challenged patent right to us.</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Opposition or invalidation procedures are also available in most foreign countries. Many foreign authorities, such as the authorities at the European Patent Office, or EPO, have only post-grant opposition proceedings. However, certain countries, such as India, have both pre-grant and post-grant opposition proceedings. These procedures have been used frequently against pharmaceutical patents in foreign countries. For example, in some foreign countries, these procedures are used by generic companies to hold up an innovator’s patent rights as a means to allow the generic company to enter the market. This activity is particularly prevalent in India, China and South America and may become more prevalent in Africa and other parts of Asia as certain countries reach more established economies. If any of our patents are challenged in a foreign opposition or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invalidation proceeding, we could face significant costs to defend our patents and may not be successful. Further, in many foreign jurisdictions, the losing party must pay the attorneys’ fees of the winning party, which can be substantial.</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Some of our patents are European Union Unitary Patents. These patent rights provide protection in multiple European Union countries (including France, Germany and Italy). The validity of these Unitary Patent rights can be challenged centrally at the Unitary Patent Court and, if such a challenge were successful, the patent would be revoked simultaneously in all of the European Union countries in which the Unitary Patent had effect.</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to file one or more lawsuits in court to prevent a third party from selling a product or using a product in a manner that infringes our patent, which could be expensive, time consuming and unsuccessful, and ultimately result in the loss of our proprietary market.</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Because competition in our industry is intense, competitors may infringe or otherwise violate our issued patents, patents of our licensors or other intellectual property. To counter infringement or unauthorized use, we may be required to file infringement lawsuits,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8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Because our ProTides are small molecules, after commercialization they will be subject to the patent litigation process of the Hatch-Waxman Act, which allows a generic company to submit an Abbreviated New Drug Application, or ANDA, to the FDA to obtain approval to sell our drug using bioequivalence data only. Under the Hatch-Waxman Act, since our candidates will be considered new chemical entities, we will have the opportunity to list all of our patents that cover our drug product or its method of use in the FDA’s compendium of “Approved Drug Products with Therapeutic Equivalence Evaluation,” sometimes referred to as the FDA’s Orange Book. A generic company can submit an ANDA to the FDA four years after our drug approval.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either our patent is invalid, unenforceable or not infringed. Under the Hatch-Waxman Act, if a lawsuit is brought, the FDA is prevented from issuing a final approval on the generic drug until the earlier of seven-and-a-half years from our drug approval or a final decision of a court holding that our asserted patent claims are invalid, unenforceable or not infringed. If we do not properly list our relevant patents in the Orange Book, timely file a lawsuit in response to a certification from a generic company under an ANDA or prevail in the resulting patent litigation, we can lose our proprietary market, which can rapidly become generic. Further, even if we do correctly list our relevant patents in the Orange Book, bring a lawsuit in a timely manner and prevail in that lawsuit, it may be at a very significant cost to us of attorneys’ fees and employee time and distraction over a long period. Further, it is common for more than one generic company to try to sell an innovator drug at the same time,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FTC has brought a number of lawsuits in federal court in the past few years to challenge Hatch-Waxman ANDA litigation settlements between innovator companies and generic companies as anti-competitive. The FTC has taken an aggressive position that anything of value is a payment, whether money is paid or not. Under their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biopharmaceutical industry argues that such agreements are rational business decisions to dismiss risk and are immune from antitrust attack if the terms of the settlement are within the scope of the exclusionary potential of the patent. In 2013, the U.S. Supreme Court, in a five-to-three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decision in </w:t>
      </w:r>
      <w:r>
        <w:rPr>
          <w:rFonts w:ascii="Times New Roman" w:cs="Times New Roman" w:eastAsia="Times New Roman" w:hAnsi="Times New Roman"/>
          <w:sz w:val="18"/>
          <w:szCs w:val="18"/>
          <w:i w:val="1"/>
          <w:iCs w:val="1"/>
          <w:color w:val="auto"/>
        </w:rPr>
        <w:t>FTC v. Actavis, Inc.</w:t>
      </w:r>
      <w:r>
        <w:rPr>
          <w:rFonts w:ascii="Times New Roman" w:cs="Times New Roman" w:eastAsia="Times New Roman" w:hAnsi="Times New Roman"/>
          <w:sz w:val="18"/>
          <w:szCs w:val="18"/>
          <w:color w:val="auto"/>
        </w:rPr>
        <w:t>, rejected both the biopharmaceutical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and leaving to lower courts the structuring of such rule of reason analysis. If we are faced with drug patent litigation, including Hatch-Waxman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NuCana is our registered trademark, as is Acelarin. ProTides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is our trademark. Any additional trademark applications in the United States, Europe and in other foreign jurisdictions where we may file may not be allowed or may subsequently be opposed. Once filed and registered, our trademarks or trade names may be challenged, infringed, circumvented or declared generic or determined to be infringing on other marks. Moreover, there can be no guarantee that FDA will approve the use of the trade name that we propose for our product candidates, which would require us to develop different proprietary names for any such drug product that could meet the agency’s standards related to reducing the risk of medication errors and other regulatory considerations (and take additional measures under trademark law to protect such new proprietary name).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business, financial condition, results of operations, or prospects.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hurt our business.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NUC-7738 and NUC-3373 and our other potential product candidates and use our proprietary technologies without infringing the proprietary rights of third parties. While our product candidates are in preclinical studies and clinical trials, we believe that the use of our product candidates in these nonclinical studies and clinical trials falls within the scope of the exemptions provided by 35 U.S.C. Section 271(e) in the United States, which exempts from patent infringement liability activities reasonably related to the development and submission of information to the FDA. As NUC-7738, NUC-3373 and our other potential product candidates progress toward commercialization, the possibility of patent infringement claims against us increases. There can be no assurance that our product candidates do not infringe other parties’ patents or other proprietary rights, however, and competitors or other parties may assert that we infringe their proprietary rights in any event.</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become party to, or threatened with, future adversarial proceedings or litigation regarding intellectual property rights covering our products and technology, including interference or derivation proceedings before the USPTO, in U.S. federal courts, or in the courts or patent offices of other countries. Third parties may assert infringement claims against us based on existing patents or patents that may be granted in the future, including against our product candidates themselves, our formulation and manufacturing processes or our drug administration methods. In particular, because NUC-3373 is a transformation of widely used approved chemotherapeutic agents, there is significant intellectual property held by third parties with respect to the formulation and manufacturing of those existing agents, which may increase the risk that such third parties allege infringement by us in the formulation and manufacture processes of our product candidates. Furthermore, if any of our future ProTides are transformations of an existing chemotherapeutic agent that remains on patent, we could be subject to claims of infringement by the holder of such patents.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6" w:name="page47"/>
    <w:bookmarkEnd w:id="46"/>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Alternatively, we may need to redesign infringing products, which may be impossible or require substantial time and monetary expenditure. Under certain circumstances,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our product candidates may be marketed or manufactured. Filing, prosecuting and defending patents on our product candidates in all countries throughout the world would be prohibitively expensive, and therefore we only file for patent protection in selected countries. The requirements for patentability may differ in certain countries, particularly in developing countries. Moreover, our ability to protect and enforce our intellectual property rights may be adversely affected by unforeseen changes in foreign intellectual property laws.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laws of foreign countries may not protect our rights to the same extent as the laws of the United States. For example, Europe, India, China and certain other countries do not allow patents for methods of treating the human body. Many companies have encountered significant problems in protecting and defending intellectual property rights in certain foreign jurisdictions that do not favor patent protection on drugs. This could make it difficult for us to stop the infringement of our patents or the misappropriation of our other intellectual property rights.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product candidates, and our patents or other intellectual property rights may not be effective or sufficient to prevent them from competing.</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or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November 2015, members of the World Trade Organization, or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some countries have compulsory licensing laws under which a patent owner may be compelled to grant licenses to third parties. Further, some countries limit the enforceability of patents against government agencies or government contractors. In these countries, the patent owner may have limited remedies, which could materially diminish the value of such</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patent. If we or any of our licensors are forced to grant a license to third parties with respect to any patents relevant to our business, our competitive position may be impaired.</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which could compromise our competitive position.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are unpredictable, generally expensive and time consuming and are likely to divert significant resources from our core business, including distracting our technical and management personnel from their normal responsibilities. Furthermore, because of the discovery that is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litigation or proceedings relating to intellectual property claims.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any of our licenses or material relationships or any in-licenses upon which our licenses are based are terminated or breached, we may:</w:t>
      </w:r>
    </w:p>
    <w:p>
      <w:pPr>
        <w:spacing w:after="0" w:line="117"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protection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current or any future product candidates. If we experience any of the foregoing, it could have a negative impact on our business, financial condition, results or operations and prospects.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one or more of these same third parties or from others to advance our research or allow commercialization of our product candidates. It is possible that we may be unable to obtain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our product candidates, which would harm our business. We cannot provide any assurances that third-party patents or other intellectual property rights do not exist which might be enforced against our current manufacturing methods, product candidates or future methods, resulting in either an injunction prohibiting our manufacture or sales, or, with respect to our sales, an obligation on our part to pay royalties or other forms of compensation to third parties.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It is possible that in any future license agreements, patent prosecution of our licensed technology may be controlled solely by the licensor, and we may be required to reimburse the licensor for their costs of patent prosecution.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Disputes may arise regarding intellectual property subject to a licensing agreement, including:</w:t>
      </w:r>
    </w:p>
    <w:p>
      <w:pPr>
        <w:spacing w:after="0" w:line="75"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product candidates.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7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seek to protect our confidential proprietary information but enforcing a claim that a party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information, or that of our suppliers and any future collaborators, may be lost or we may suffer security breaches.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our CROs and other third parties on which we rely, collect and store sensitive data, including intellectual property, clinical trial data, proprietary business information, personally identifiable information of our employees and, potentially in the future, personally identifiable information of our clinical trial subjects, in our data centers and on our networks. The secure processing, maintenance and transmission of this information is critical to our operations. Despite our security measures, our information technology and infrastructure may be vulnerable to attacks by hackers or compromised due to employee error, malfeasance or other disruptions. Although to our knowledge we have not experienced any such material cybersecurity incident to date, any such incident could compromise our networks and the information stored there could be accessed, publicly disclosed, modified, disrupted,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us and our ability to conduct clinical trials and our competitive advantage, which could adversely affect our reputation and delay the clinical development of our product candidates.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use or sell compounds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strategic partners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strategic partners, or future licensors or strategic partners might not have been the first to file patent applications covering certain of our inventions;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limited number of employees, and our future success depends on our ability to retain key executives and to attract, retain and motivate qualified personnel.</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 clinical development-stage company, and, as of December 31, 2025, had 12 employees, including four executive officers. We are highly dependent on the research and development, clinical, business development and commercialization expertise of Hugh Griffith, our Chief Executive Officer, as well as the other principal members of our management team and our collaborators’ scientific and clinical team. Although we have entered into service agreements with our executive officers, each of them may at any time serve notice to terminate their employment with us. Other than for Mr. Griffith, we do not maintain “key person” insurance for any of our executives or other employees. In addition, we rely on consultants and advisors,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or our collaborators are unable to continue to attract and retain high quality personnel, our ability to pursue our growth strategy will be limited.</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obtain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If we or our collaborators are unable to continue to attract and retain high quality personnel, our ability to pursue our growth strategy will be limited.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the company.</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implications of the United Kingdom’s withdrawal from the European Union may have a negative effect on global economic conditions, financial markets and our business, which could reduce the price of our ADSs.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United Kingdom withdrew from the European Union on January 31, 2020 , and at the end of the “Transition Period” during which E.U. rules continued to apply in the United Kingdom until December 31, 2020, the United Kingdom and the European Union entered into the Trade and Cooperation Agreement, or the TCA. The TCA provides for zero tariff/zero quota trade in goods (including medicinal products) between the United Kingdom and E.U. member states, and includes commitments from the United Kingdom and the European Union to maintain common high standards across a number of areas, such as intellectual property, competition and taxation, as well as a number of other benefits, such as a commitment to the United Kingdom’s continued access to the Horizon Europe research program (in which UK-based researchers became able to participate as of January 1, 2024, following a political agreement made between the European Commission and the U.K. government). However, the United Kingdom’s departure from the European Union single market has resulted in substantial changes for U.K. businesses, including an end to the free movement of persons, goods and services between the United Kingdom and the European Union, and the loss of a number of other benefits afforded to citizens and businesses in the United Kingdom and the European Union prior to the withdrawal, such as the mutual recognition of professional qualifications, or passporting for financial services. Furthermore, as the United Kingdom is no longer subject to E.U. law, or the jurisdiction of the European Court of Justice, there is increasing scope for divergence between United Kingdom and E.U. member states’ laws and regulations.</w:t>
      </w:r>
    </w:p>
    <w:p>
      <w:pPr>
        <w:spacing w:after="0" w:line="8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continued uncertainty around how the United Kingdom’s legal, political and economic relationship with the European Union is evolving following the withdrawal, has had and may continue to have a significant adverse effect on global economic conditions and the stability of global financial markets, and could significantly reduce global market liquidity. Asset valuations, currency exchange rates and credit ratings may be especially subject to increased market volatility. These developments may also have a significant effect on our ability to attract and retain employees, including scientists and other employees who are important for our and our collaborators’ research and development efforts.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Scotland decides to secede from the United Kingdom, and as a result of divergence between the income tax rates in Scotland compared to the remainder of the United Kingdom.</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headquartered in Scotland. A referendum on Scottish independence from the United Kingdom took place on September 18, 2014, the result of which was that Scotland remained part of the United Kingdom. There may in the future be a second referendum on Scottish independence from the United Kingdom. Any such referendum, even if it again ultimately resulted in Scotland remaining part of the United Kingdom, could lead to uncertainty and disrupt the markets in which we operate, and might cause us to lose potential customers, suppliers, collaborators and employees, including scientists and other key employees employed by us or our collaborators. In the event that Scotland determined to secede from the United Kingdom, the changes that would result are impossible to predict with certainty at present, and would depend on post-referendum negotiations and agreements between the Scottish Government and other organizations in the United Kingdom (and, potentially, the E.U.).</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income tax rates applicable to those individuals subject to Scottish taxation are more complicated, and higher, than those that apply to individuals subject to taxation in the remainder of the United Kingdom. This could negatively impact on our ability to attract and retain employees in Scotland, including scientists and other employees who are important for our research and development efforts, as they may be reticent to reside or work in Scotland due to the potential for less take-home pay.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2008 global financial crisis and the COVID-19 pandemic each caused volatility and disruptions in the capital and credit markets. A severe or prolonged economic downturn, such as resulted from each of the 2008 global financial crisis and the 2020 COVID-19 pandemic, could result in a variety of risks to our business, including our ability to raise additional capital when needed on acceptable terms, if at all. A weak or declining economy could also strain our suppliers, possibly resulting in supply disruption.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information technology and other internal infrastructure system failures.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and other internal infrastructure systems and those of our third-party CROs and other contractors and consultants, including corporate firewalls, servers, leased lines and connections to the Internet, are vulnerable to damage from attacks, hackers, computer viruses, unauthorized access, natural disasters, terrorism, war and telecommunication and electrical failures. Furthermore, we have limited control over the security measures and computer systems of our third-party CROs and other contractors and consultants. While we have not experienced any such system failure, accident or material cybersecurity incident to date, if such an event were to occur and cause interruptions in our operations, it could result in a material disruption of our programs and business activities. For example, the loss of clinical trial data for our product candidates could result in delays in our marketing approval efforts and significantly increase our costs to recover or reproduce the data. To the extent that any disruption or other security incident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to resolve allegations of non-compliance with these laws, and curtailment of our operations, any of which could adversely affect our ability to operate our business and our results of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2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strategy.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hurt our financial condition.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ADSs may be volatile and may fluctuate due to factors beyond our control, which, as a result, may affect our ability to maintain compliance with The Nasdaq Capital Market’s continued listing requirements.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trading price of the ADSs has fluctuated, and is likely to continue to fluctuate substantially. The trading price of those securities depends on a number of factors, including those described in this “Risk Factors” section, many of which are beyond our control and may not be related to our operating performance. In addition, although the ADSs are listed on The Nasdaq Capital Market we cannot assure you that a trading market for those securities will be maintained.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market price of our ADSs may fluctuate significantly due to a variety of factors, many of which are beyond our control, including:</w:t>
      </w:r>
    </w:p>
    <w:p>
      <w:pPr>
        <w:spacing w:after="0" w:line="117"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testing and clinical trials by us, collaborators or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NUC-7738 or NUC-3373 or any of our other potential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collaborations or other corporate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biotechnology or pharmaceutical industries or in the economy as a whole;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or ordinary shares by us, our senior management and board members, holders of our ADSs or our ordinary shares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attributable to inconsistent trading volume levels of the ADSs;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if we fail to maintain compliance with The Nasdaq Capital Market’s continued listing requirements, including the minimum closing bid price requirement, The Nasdaq Stock Market LLC, or Nasdaq, may take steps to de-list our ADSs. Such a de-listing would likely have a negative effect on the price of our ADSs and may impair investors’ ability to sell or purchase our ADSs when they wish to do so. In the event of a de-listing, we may take actions to restore our compliance with The Nasdaq Capital Market’s listing requirements, but we can provide no assurance that any such action taken by us would allow our ADSs to become listed again, stabilize the market price or improve the liquidity of our ADSs, or prevent future non-compliance with The Nasdaq Capital Market’s listing requirements, as further described below.</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 Nasdaq has proposed amending the Nasdaq Listing Rules to require companies to maintain a minimum market value of listed securities, or MVLS, of $5 million. Specifically, if a company fails to have a MVLS of at least $5 million for 30 consecutive business days, it will be subject to immediate suspension and de-listing without any cure period to regain compliance. If this rule takes effect and if our MVLS falls below $5 million for 30 consecutive business days, our ADSs would be immediately de-listed from Nasdaq and trading in our ADSs on Nasdaq would cease. There can be no assurance that our efforts to maintain our MVLS at levels above $5 million will be successful.</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price of our ADSs may decline and fall below the minimum bid price requirement required by the Nasdaq Listing Rules, including Nasdaq Listing Rules 5550(a)(2) and 5810(c)(3)(A)(iii) which could result in our ADSs being delisted from The Nasdaq Capital Market. A delisting of our ADSs from The Nasdaq Capital Market could adversely affect our ability to raise additional capital through the public or private sale of equity securities, the ability of investors to dispose of ADSs or obtain accurate quotations as to the market value of our ADSs and the price and value of our ADSs.</w:t>
      </w:r>
    </w:p>
    <w:p>
      <w:pPr>
        <w:spacing w:after="0" w:line="72" w:lineRule="exact"/>
        <w:rPr>
          <w:sz w:val="20"/>
          <w:szCs w:val="20"/>
          <w:color w:val="auto"/>
        </w:rPr>
      </w:pPr>
    </w:p>
    <w:p>
      <w:pPr>
        <w:jc w:val="both"/>
        <w:ind w:firstLine="526"/>
        <w:spacing w:after="0" w:line="253" w:lineRule="auto"/>
        <w:rPr>
          <w:sz w:val="20"/>
          <w:szCs w:val="20"/>
          <w:color w:val="auto"/>
        </w:rPr>
      </w:pPr>
      <w:r>
        <w:rPr>
          <w:rFonts w:ascii="Times New Roman" w:cs="Times New Roman" w:eastAsia="Times New Roman" w:hAnsi="Times New Roman"/>
          <w:sz w:val="18"/>
          <w:szCs w:val="18"/>
          <w:color w:val="auto"/>
        </w:rPr>
        <w:t>Our ADSs are currently listed on The Nasdaq Capital Market. Continued listing of a security on The Nasdaq Capital Market is conditioned upon compliance with various continued listing standards. In particular, the requirements for The Nasdaq Capital Market impose a minimum $1.00 per share bid price requirement. To comply with this requirement, the closing price for our ADSs must not fall below $1.00 for a 30 consecutive trading day period. If we are unable to maintain a minimum closing price of $1.00 per ADS for the preceding 30 consecutive trading days, we will receive a deficiency letter from the staff of Nasdaq, or the Staff. The Staff may provide us with a 180-calendar day grace period to regain compliance with the bid price requirement. If we are unable to regain compliance with the bid price requirement within the 180-calendar day grace period or if no grace period is made available to us, we may be delisted from The Nasdaq Capital Market unless we change the ratio of our ADSs to ordinary shares; however, there can be no assurance that we will be able to change the ratio of our ADSs to ordinary shares or that, if we are able to change the ratio, changing the ratio of our ADSs to ordinary shares will allow us to regain compliance with the bid price requirement. We currently do not have plans to change the ratio of our ADSs to ordinary shares or to implement a reverse stock split with respect to our ordinary shares.</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Additionally, in the event of a delisting notice, we would typically have an opportunity to appeal such decision to the Nasdaq Hearing Panel or take other measures to preserve the listing of our ADSs on The Nasdaq Capital Market, but these measures and any appeal may not be successful. Additionally, if our ADSs have a closing bid price of $0.10 or less for ten consecutive trading days, the Staff must issue a delisting determination to us and no grace period to regain compliance will be provided.</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For example, on May 12, 2023, we received written notification from Nasdaq indicating that we were not in compliance with the minimum $1.00 per share bid price requirement set forth in Nasdaq Listing Rule 5450(a)(1). In order to regain compliance within the 180-day grace period, the minimum bid price for our ADSs needed to meet or exceed $1.00 for ten consecutive trading days. On November 9, 2023, we transferred the listing of our ADSs from The Nasdaq Global Select Market to The Nasdaq Capital Market. In connection with the transfer to The Nasdaq Capital Market, Nasdaq granted us a second 180-day period (or until May 6, 2024) to regain compliance with the requirement set forth in Nasdaq Listing Rule 5450(a)(1). On April 16, 2024, we effected a ratio change of our ADSs to our ordinary shares, from one ADS, representing one ordinary share, to one ADS representing twenty-five ordinary shares. We regained compliance with the minimum closing bid price requirement on May 1, 2024. On June 18, 2025, we received written notification from Nasdaq indicating that we were not in compliance with the minimum $1.00 per share bid price requirement set forth in Nasdaq Listing Rule 5550(a)(2). On July 8, 2025, we received written notification from Nasdaq indicating that we had closed below $0.10 per share for ten consecutive trading days. Accordingly, the Company was notified that, in accordance with Nasdaq Listing Rule 5810(c)(3)(A)(iii), we were subject to delisting unless we timely requested a hearing before the Nasdaq Hearings Panel. On August 11, 2025, we effected a ratio change of our ADSs to our ordinary shares, from one ADS, representing twenty-five ordinary shares, to one ADS representing five thousand ordinary shares. We regained compliance with the minimum closing bid price requirement on September 4, 2025.</w:t>
      </w:r>
    </w:p>
    <w:p>
      <w:pPr>
        <w:spacing w:after="0" w:line="79" w:lineRule="exact"/>
        <w:rPr>
          <w:sz w:val="20"/>
          <w:szCs w:val="20"/>
          <w:color w:val="auto"/>
        </w:rPr>
      </w:pPr>
    </w:p>
    <w:p>
      <w:pPr>
        <w:jc w:val="both"/>
        <w:ind w:firstLine="420"/>
        <w:spacing w:after="0" w:line="266" w:lineRule="auto"/>
        <w:rPr>
          <w:sz w:val="20"/>
          <w:szCs w:val="20"/>
          <w:color w:val="auto"/>
        </w:rPr>
      </w:pPr>
      <w:r>
        <w:rPr>
          <w:rFonts w:ascii="Times New Roman" w:cs="Times New Roman" w:eastAsia="Times New Roman" w:hAnsi="Times New Roman"/>
          <w:sz w:val="18"/>
          <w:szCs w:val="18"/>
          <w:color w:val="auto"/>
        </w:rPr>
        <w:t>If our ADSs are delisted by The Nasdaq Stock Market, our ADSs may be eligible to trade on an over-the-counter quotation system, where an investor may find it more difficult to sell our ADSs or obtain accurate quotations as to the market value of our ADSs. We cannot ensure that our ADSs, if delisted from The Nasdaq Capital Market, will be listed on any national securities exchange or quoted on an over-the counter quotation system.</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the event we are delisted from The Nasdaq Capital Market, the only established trading market for our ADSs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ADSs. Delisting would likely also reduce the visibility, liquidity, and value of our ADSs, reduce institutional investor interest in our company, and may increase the volatility of our ADSs. Delisting could also cause a loss of confidence of potential industry partners, lenders, and employees, which could further harm our business and our future prospects.</w:t>
      </w:r>
    </w:p>
    <w:p>
      <w:pPr>
        <w:spacing w:after="0" w:line="79" w:lineRule="exact"/>
        <w:rPr>
          <w:sz w:val="20"/>
          <w:szCs w:val="20"/>
          <w:color w:val="auto"/>
        </w:rPr>
      </w:pPr>
    </w:p>
    <w:p>
      <w:pPr>
        <w:jc w:val="both"/>
        <w:ind w:firstLine="438"/>
        <w:spacing w:after="0" w:line="256" w:lineRule="auto"/>
        <w:rPr>
          <w:sz w:val="20"/>
          <w:szCs w:val="20"/>
          <w:color w:val="auto"/>
        </w:rPr>
      </w:pPr>
      <w:r>
        <w:rPr>
          <w:rFonts w:ascii="Times New Roman" w:cs="Times New Roman" w:eastAsia="Times New Roman" w:hAnsi="Times New Roman"/>
          <w:sz w:val="18"/>
          <w:szCs w:val="18"/>
          <w:color w:val="auto"/>
        </w:rPr>
        <w:t>Unless our ADSs are listed on a national securities exchange, such as Nasdaq, our ADSs will also likely be subject to the regulations and restrictions regarding trading in “penny stocks,” which are those securities trading for less than $5.00 per share, and that are not otherwise exempted from the definition of a penny stock under other exemptions provided for in the applicable regulations. These penny stock requirements and regulations could severely limit the liquidity of our ADSs in the secondary market because fewer brokers or dealers would be likely to be willing to undertake related compliance activities to trade in our ADSs. If our ADSs are not listed on a national securities exchange, the rules and restrictions regarding penny stock transactions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may limit an investor’s ability to sell to a third-party and our trading activity in the secondary market may be reduced. Delisting from The Nasdaq Capital Market would also likely limit the range and attractiveness of strategic alternatives that we are able to consider, adversely affect our ability to raise additional capital through the public or private sale of equity securities, significantly affect the ability of investors to trade our securities, and/or negatively affect the value and liquidity of our ADSs.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in the United States, and our management is required to devote substantial time to new compliance initiatives and corporate governance practices.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public company whose ADSs commenced trading in the United States in September 2017, we incur, and particularly now that we no longer qualify as an “emerging growth company”, or EGC, we will continue to incur, significant legal, accounting and other expenses that we did not incur previously. The Sarbanes-Oxley Act of 2002, the Dodd-Frank Wall Street Reform and Consumer Protection Act, the listing requirements of The Nasdaq Capital Market,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need to devote a substantial amount of time to these compliance initiatives. Moreover, these rules and regulations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makes it more difficult for us to attract and retain qualified senior management personnel or members for our board of directors.</w:t>
      </w:r>
    </w:p>
    <w:p>
      <w:pPr>
        <w:spacing w:after="0" w:line="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senior management on our internal control over financial reporting. We no longer remain an EGC and we would now be required to include an attestation report on internal control over financial reporting issued by our independent registered public accounting firm; however, we remain exempt from this requirement due to our current status as a non-accelerated filer. We ceased to be an EGC on the last day of 2022. To prepare for compliance with Section 404(b), once we no longer qualify as a non-accelerated filer, we are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404(b). If we identify one or more material weaknesses, it could result in an adverse reaction in the financial markets due to a loss of confidence in the reliability of our financial statements.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members of our board of directors and senior management maintain the ability to exercise significant control over us. Your interests may conflict with the interests of these existing shareholders.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of December 31, 2025, our senior management, board of directors and greater than 5% shareholders and their respective affiliates, in the aggregate, beneficially owned or controlled approximately 14.9% of our ordinary shares (including ordinary shares in the form of ADSs), after giving effect to the exercise of all outstanding vested options to purchase our ordinary shares held by our executive officers and directors. These shareholders, either alone or voting together as a group, may be in a position to determine or significantly influence the outcome of decisions taken at any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 rules and regulations could limit the amount of funds we can raise during any 12-month period pursuant to our shelf registration statement on Form F-3 because we are subject to the Baby Shelf Limitation.</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SEC rules and regulations limit the amount that companies with a public float of less than $75 million may raise during any 12-month period pursuant to a shelf registration statement on Form F-3, which we refer to as the Baby Shelf Limitation. We are currently limited by the Baby Shelf Limitation and we may not sell securities in a primary offering with a value exceeding more than one-third of our public float in any 12-month period for so long as our public float remains below $75 million, as measured in accordance with the Baby Shelf Limitation. As a result of the Baby Shelf Limitation, we may need to sell shares in a private placement or in an offering registered on Form F-1 in order to raise additional capital.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ADSs or ordinary shares could adversely affect the price of our ADSs.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Future sales of a substantial number of our ADSs or ordinary shares, or the perception that such sales will occur, could cause a decline in the market price of our ADSs. Sales of a substantial number of our ADSs in the public markets, including during future offerings, or the perception that such sales could occur, could depress the market price of our ADSs and impair our ability to raise capital through the sale of additional equity securities. If any of our large shareholders or members of our management team sell substantial amounts of our securities in the public market, or the market perceives that such sales may occur, the market price of our ADSs and our ability to raise capital through an issue of equity securities in the future could be adversely affected. We have also entered into a registration rights agreement pursuant to which we have agreed under specified circumstances to file a registration statement to register the resale of the ordinary shares (which may be converted to ADSs) held by some of our existing shareholders, as well as to cooperate in specified public offerings of such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exercise of our outstanding options will dilute shareholders and ADS holders and could decrease our ADS price.</w:t>
      </w:r>
    </w:p>
    <w:p>
      <w:pPr>
        <w:spacing w:after="0" w:line="121" w:lineRule="exact"/>
        <w:rPr>
          <w:sz w:val="20"/>
          <w:szCs w:val="20"/>
          <w:color w:val="auto"/>
        </w:rPr>
      </w:pPr>
    </w:p>
    <w:p>
      <w:pPr>
        <w:jc w:val="both"/>
        <w:ind w:firstLine="433"/>
        <w:spacing w:after="0" w:line="258" w:lineRule="auto"/>
        <w:rPr>
          <w:sz w:val="20"/>
          <w:szCs w:val="20"/>
          <w:color w:val="auto"/>
        </w:rPr>
      </w:pPr>
      <w:r>
        <w:rPr>
          <w:rFonts w:ascii="Times New Roman" w:cs="Times New Roman" w:eastAsia="Times New Roman" w:hAnsi="Times New Roman"/>
          <w:sz w:val="18"/>
          <w:szCs w:val="18"/>
          <w:color w:val="auto"/>
        </w:rPr>
        <w:t>The exercise of our outstanding options may adversely affect our ADS price due to sales of a large number of ADSs or the perception that such sales could occur. These factors also could make it more difficult to raise funds through future offerings of our securities, and could adversely impact the terms under which we could obtain additional equity capital. Exercise of outstanding options or any future issuance of additional ADSs or other securities, including, but not limited to preferred shares, options, warrants, restricted share units or other derivative securities convertible into our ADSs, may result in significant dilution to our shareholders and ADS holders and may decrease our ADS price.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equity or debt offerings may result in an immediate trading halt or delisting of our ADSs from The Nasdaq Capital Market due to public interest concerns.</w:t>
      </w:r>
    </w:p>
    <w:p>
      <w:pPr>
        <w:spacing w:after="0" w:line="51" w:lineRule="exact"/>
        <w:rPr>
          <w:sz w:val="20"/>
          <w:szCs w:val="20"/>
          <w:color w:val="auto"/>
        </w:rPr>
      </w:pPr>
    </w:p>
    <w:p>
      <w:pPr>
        <w:jc w:val="both"/>
        <w:ind w:firstLine="409"/>
        <w:spacing w:after="0" w:line="254" w:lineRule="auto"/>
        <w:rPr>
          <w:sz w:val="20"/>
          <w:szCs w:val="20"/>
          <w:color w:val="auto"/>
        </w:rPr>
      </w:pPr>
      <w:r>
        <w:rPr>
          <w:rFonts w:ascii="Times New Roman" w:cs="Times New Roman" w:eastAsia="Times New Roman" w:hAnsi="Times New Roman"/>
          <w:sz w:val="18"/>
          <w:szCs w:val="18"/>
          <w:color w:val="auto"/>
        </w:rPr>
        <w:t>Under Nasdaq Listing Rule 5101, Nasdaq has broad discretionary authority to terminate the listing of securities, subject to a timely-requested hearing, if it determines that continued listing is not in the public interest, even if the issuer is in compliance with Nasdaq’s enumerated listing criteria. If Nasdaq determines the terms a future offering raise public interest concerns due to the dilutive nature of the transaction, or any other reason, Nasdaq may issue a determination letter to delist our ADSs pursuant to its discretionary authority under Listing Rule 5101. In that event, even if we were to timely request a hearing with respect to Nasdaq’s determination to delist our ADSs, Nasdaq may still impose an immediate halt on the trading of our ADSs pursuant to Nasdaq Listing Rule 4120(a)(5) pending the outcome of such hearing. If trading in our ADSs were to be halted or if The Nasdaq Stock Market were to determine to delist our ADSs, investors could lose all or part of their investment and our ability to raise additional capital through the public or private sale of equity securities would be adversely affected.</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or ordinary shares in the foreseeable future, capital appreciation, if any, will be the sole source of potential gains with respect to such securities.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including the operation, development and growth of our business, and do not anticipate paying any cash dividends in the foreseeable future. Furthermore, any future debt agreements may also preclude us from paying or place restrictions on our ability to pay dividends. As a result, capital appreciation, if any, on our ADSs or ordinary shares will be the sole source of potential gains with respect to such securities for the foreseeable future.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Except as described in this Annual Report, holders of our ADSs will not be able to exercise voting rights attaching to the ordinary shares evidenced by our ADSs on an individual basis. Holders of our ADSs appoint the depositary or its nominee as their representative to exercise the voting rights attaching to the ordinary shares in the form of ADSs in accordance with the deposit agreement. Holders of ADSs may not receive voting materials in time to instruct the depositary to vote, and it is possible that they, or persons who hold their ADSs through brokers, dealers or other third parties, will not have the opportunity to exercise a right to vote. In certain cases, the shares represented by ADSs may be voted contrary to the holder’s instructions and the holder may be deemed to have instructed the depositary to give a discretionary proxy to a person we designate to vote shares represented by the ADSs in such person’s discretion. Furthermore, the depositary will not be liable for any failure to carry out any instructions to vote, for the manner in which any vote is cast or for the effect of any such vote. As a result, holders of ADSs may not be able to exercise voting rights and may lack recourse if their ADSs are not voted as requested. In addition, in their capacity as ADS holders, purchasers of our ADSs will not be able to call a shareholders’ meeting.</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in the form of ADSs or any value for them if it is illegal or impractical to make them available to holders of ADSs.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depositary for our ADSs has agreed to pay to holders of our ADSs the cash dividends or other distributions it or the custodian receives on our ordinary shares or other deposited securities after deducting its fees and expenses and certain taxes. Holders of our ADSs will receive these distributions in proportion to the number of our ordinary shares their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them available to them. These restrictions may have a negative impact on the market value of our ADSs.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See “Description of Issued Share Capital—Differences in Corporate Law” in Item 10.B of this Annual Report for a description of the principal differences between the provisions of the Companies Act 2006 applicable to us and, for example, the Delaware General Corporation Law relating to shareholders’ rights and protections.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will not apply if our place of management and control is considered to change to outside the United Kingdom, and will cease to apply with effect from February 3, 2027.</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a public limited company incorporated in England and Wales and have our place of central management and control in the United Kingdom. Accordingly, we are currently subject to the Takeover Code and, as a result, our shareholders are entitled to the benefit of certain takeover offer protections provided under the Takeover Code. The Takeover Code provides a framework within which takeovers of companies are regulated and conducted. If, at the time of a takeover offer, the Panel on Takeovers and Mergers, or the Panel, determines that we do not have our place of central management and control in the United Kingdom, then the Takeover Code would not apply to us and our shareholders would not be entitled to the benefit of the various protections that the Takeover Code affords. In particular, we would not be subject to the rules regarding mandatory takeover bids.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Furthermore, amendments have been made to the Takeover Code (with effect from February 3, 2025) which mean that, since our securities are not “U.K. quoted” (i.e. admitted to trading on a U.K. regulated market or a U.K. multilateral trading facility or on any stock exchange in the Channel Islands or the Isle of Man), we will cease to be subject to the Takeover Code from February 3, 2027, and as a consequence our shareholders will no longer be entitled to the benefit of all of the takeover offer protections afforded by the Takeover Code (including those outlined below) from such date.</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Panel had published a brief summary of some of the most important rules of the Takeover Code, which we quote here:</w:t>
      </w:r>
    </w:p>
    <w:p>
      <w:pPr>
        <w:spacing w:after="0" w:line="117" w:lineRule="exact"/>
        <w:rPr>
          <w:sz w:val="20"/>
          <w:szCs w:val="20"/>
          <w:color w:val="auto"/>
        </w:rPr>
      </w:pPr>
    </w:p>
    <w:p>
      <w:pPr>
        <w:jc w:val="both"/>
        <w:ind w:left="760" w:hanging="378"/>
        <w:spacing w:after="0" w:line="266"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acquires interests in shares carrying 30% or more of the voting rights of a company, they must make a cash offer to all other shareholders at the highest price paid in the 12 months before the offer was announced (30% of the voting rights of a company is treated by the Code as the level at which effective control is obtained).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interests in shares carrying 10% or more of the voting rights of a class have been acquired by an offeror (i.e. a bidder) in the offer period and the previous 12 months, the offer must include a cash alternative for all shareholders of that class at the highest price paid by the offeror in that period. Further, if an offeror acquires for cash any interest in shares during the offer period, a cash alternative must be made available at that price at least.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offeror acquires an interest in shares in an offeree company (i.e. a target) at a price higher than the value of the offer, the offer must be increased accordingly.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banned.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issuing takeover circulars must include statements taking responsibility for the contents.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by the offeree company which might frustrate the offer are generally prohibited unless shareholders approve these plans.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board’s circular or published on a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United States and the United Kingdom do not currently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England and Wales. In addition, uncertainty exists as to whether the English and Welsh courts would entertain original actions brought in England and Wales against us or our directors or senior management predicated upon the securities laws of the United States or any state in the United States. Any final and conclusive monetary judgment for a definite sum obtained against us in U.S. courts would be treated by the courts of England and Wales as a cause of action in itself and sued upon as a debt so that no retrial of the issues would be necessary, provided that certain requirements are met consistent with English law and public policy. Whether these requirements are met in respect of a judgment based upon the civil liability provisions of the U.S. securities laws is an issue for the English court making such decision. If an English court gives judgment for the sum payable under a U.S. judgment, the English judgment will be enforceable by methods generally available for this purpose.</w:t>
      </w:r>
    </w:p>
    <w:p>
      <w:pPr>
        <w:spacing w:after="0" w:line="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foreign private issuer and, as a result, we are not subject to U.S. proxy rules and are subject to Exchange Act reporting obligations that, to some extent, are more lenient and less frequent than those of a U.S. domestic public company.</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our shareholders may not have the same protections afforded to shareholders of companies that are not foreign private issuers.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a foreign private issuer listed on Nasdaq, we are subject to corporate governance listing standards. However, Nasdaq rules permit a foreign private issuer like us to follow the corporate governance practices of its home country in lieu of certain Nasdaq corporate governance listing standards. Certain corporate governance practices in the United Kingdom, which is our home country, may differ significantly from Nasdaq corporate governance listing standards. For example, neither the corporate laws of the United Kingdom nor our Articles of Association require a majority of our directors to be independent; we can and do include non-independent directors as members of our nominations; and our independent directors are not required to hold regularly scheduled meetings at which only independent directors are present. Therefore, our shareholders may be afforded less protection than they otherwise would have under Nasdaq corporate governance listing standards applicable to U.S. domestic issuers.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As a foreign private issuer, we are not required to comply with all of the periodic disclosure and current reporting requirements of the Exchange Act applicable to U.S. domestic issuers. We may no longer be a foreign private issuer as of June 30, 2026 (the end of our next second fiscal quarter), which would require us to comply with all of the periodic disclosure and current reporting requirements of the Exchange Act applicable to U.S. domestic issuers as of January 1, 2027. In order to maintain our current status as a foreign private issuer, either (a) a majority of our voting securities must be either directly or indirectly owned of record by non-residents of the United States or (b)(i) a majority of our executive officers or directors cannot be U.S. citizens or residents, (ii) more than 50%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and are subject to additional reporting requirements.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ceased to be an EGC as defined in the Jumpstart Our Business Startups Act, or JOBS Act, on the last day of 2022. As a result, we are no longer able to rely on exemptions from various reporting requirements that are available to EGCs, including not being required to comply with the auditor attestation requirements of Section 404(b); however, we remain exempt from this requirement due to our current status as a non-accelerated filer. We are no longer able to report only two years of financial results and selected financial data and have to report three and five years, respectively.</w:t>
      </w:r>
    </w:p>
    <w:p>
      <w:pPr>
        <w:spacing w:after="0" w:line="6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Management is required to assess the effectiveness of our internal controls annually. We are no longer an EGC under the JOBS Act and our independent registered public accounting firm would be required to attest to the effectiveness of our internal controls over financial reporting pursuant to Section 404(b); however, we remain exempt from this requirement due to our current status as a non-accelerated filer. We ceased to be an EGC on the last day of 2022. An independent assessment of the effectiveness of our internal controls could detect problems that our management’s assessment might not. Undetected material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ADSs and our trading volume could decline.</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Securities and industry analysts do not currently, and may never, publish research on us. If no or too few securities or industry analysts commence coverage on us, the trading price for our ADSs would likely be negatively affected. In the event securities or industry analysts initiate coverage, if one or more of the analysts who cover us downgrade our ADSs or publish inaccurate or unfavorable research about our business, the price of our ADSs would likely decline. If one or more of these analysts cease coverage of us or fail to publish reports on us regularly, demand for our ADSs could decrease, which might cause the price of our ADSs and trading volume to decline.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for any taxable year, which could result in material adverse U.S. federal income tax consequences if you are a U.S. investor.</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The determination of whether we are a PFIC depends on the particular facts and circumstances (such as the valuation of our assets, including goodwill and other intangible assets, and the characterization of our income, including whether certain research and development tax credits received from the government of the United Kingdom will constitute gross income, and if they do, whether they will constitute passive income for purposes of the PFIC income test) and may also be affected by the application of the PFIC rules, which are subject to differing interpretations. In addition, for purpose of the PFIC asset test, the value of our assets will depend in part on the market price of our ordinary shares, which may fluctuate significantly. Based on our estimated gross income, the average value of our assets, including goodwill and the nature of our active business, we believe we were a PFIC for U.S. federal income tax purposes for the taxable year ended December 31, 2025.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investors should invest in our ADSs only if they are willing to bear the U.S. federal income tax consequences associated with investments in PFICs.</w:t>
      </w:r>
    </w:p>
    <w:p>
      <w:pPr>
        <w:spacing w:after="0" w:line="29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we are a PFIC, U.S. holders of our ADSs may be subject to adverse U.S. federal income tax consequences, such as the ineligibility for any preferred tax rates on capital gains or on actual or deemed dividends for individuals who are U.S. holders, having interest apply to distributions by us and the proceeds of sales of the ADSs, and additional reporting requirements under U.S. federal income tax laws and regulations. Investors should consult their own tax advisors regarding all aspects of the application of the PFIC rules to our ADSs. We intend to provide the information necessary for a U.S. investor to make a qualifying electing fund election with respect to us. For further information, see “Taxation—Material U.S. Federal Income Tax Consideration— Passive Foreign Investment Company Considerations” in this Annual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ind w:firstLine="495"/>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England and Wales in 1997 under the name Biomed (UK) Limited, and commenced operations in 2008. On April 28, 2008, we changed our name to NuCana BioMed Limited. On August 29, 2017, we re-registered as a public limited company and changed our name to NuCana plc. On October 2, 2017, we completed our initial public offering of American Depositary Shares, or ADSs, on The Nasdaq Global Select Market. On November 9, 2023 we transferred our listing to The Nasdaq Capital Market. Our ADSs are traded under the symbol “NCNA”.</w:t>
      </w:r>
    </w:p>
    <w:p>
      <w:pPr>
        <w:spacing w:after="0" w:line="180"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Our registered office is located at 77/78 Cannon Street, London EC4N 6AF, United Kingdom. Our principal executive offices are located at 3 Lochside Way, Edinburgh, EH12 9DT, United Kingdom, our general telephone number is +44 (0)131 357 1111 and our internet address is https://www.nucana.com. Our website and the information contained on or accessible through our website are not part of this Annual Report. Our agent for service of process in the United States is Corporation Service Company, 251 Little Falls Drive, Wilmington, DE 19808. The SEC maintains an internet site that contains reports, proxy and information statements, and other information regarding issuers that file electronically with the SEC (http://www.sec.gov).</w:t>
      </w:r>
    </w:p>
    <w:p>
      <w:pPr>
        <w:spacing w:after="0" w:line="287"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374"/>
        <w:spacing w:after="0" w:line="24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significantly improving treatment outcomes for patients with cancer by applying our ProTide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to transform some of the most widely prescribed chemotherapy agents, nucleoside analogs, into more effective and safer medicines,while also enabling the therapeutic development of nucleosides that have historically failed due to resistance mechanisms and metabolic limitations.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anti-cancer medicines, ProTides, designed to overcome the key limitationsof nucleoside analogs and generate much higher concentrations of anti-cancer metabolites in cancer cells. Our pipeline includes NUC-7738 and NUC-3373.</w:t>
      </w:r>
    </w:p>
    <w:p>
      <w:pPr>
        <w:spacing w:after="0" w:line="9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NUC-7738 is a novel anti-cancer agent that disrupts RNA polyadenylation, profoundly impacts gene expression in cancer cells, and targets multiple aspects of the tumor microenvironment (TME). NUC-7738 is being evaluated in a Phase 1/2 clinical trial (NuTide:701). The Phase 1 part evaluated NUC-7738 as a monotherapy in patients with advanced solid tumors. The Phase 2 part is evaluating NUC-7738 in combination with pembrolizumab in patients with PD-1 inhibitor-resistant melanoma. This Phase 2 part consists of an initial dose-confirmation stage followed by an ongoing expansion stage and we expect to report data from this expansion study in 2026. We also anticipate seeking regulatory guidance from the U.S. Food and Drug Administration (FDA) in 2026 regarding the potential registrational pathway for NUC-7738 in melanoma.</w:t>
      </w:r>
    </w:p>
    <w:p>
      <w:pPr>
        <w:spacing w:after="0" w:line="7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NUC-3373 is a targeted Thymidylate Synthase (TS) inhibitor designed to overcome key pharmacologic limitations associated with other TS inhibitors. NUC-3373 is a novel chemical entity derived from the TS inhibitor and nucleoside analog 5-fluorouracil (5-FU), which remains one of the most widely used chemotherapeutic agents worldwide and is included on the World Health Organization’s List of Essential Medicines. NUC-3373 has been designed to enhance TS inhibition, improve tolerability, and reduce certain administration burdens associated with other TS inhibitors including 5-FU. NUC-3373 has been evaluated in a Phase 1 clinical trial for patients with advanced solid tumors; a Phase 1b/2 clinical trial, in combination with other agents, for patients with metastatic colorectal cancer; a randomized Phase 2 clinical trial of NUC-3373, in combination with other agents, for the second-line treatment of patients with advanced colorectal cancer; and a Phase 1b/2 modular clinical trial of NUC-3373 in combination with the PD-1 inhibitor pembrolizumab for patients with advanced solid tumors and NUC-3373 in combination with docetaxel in patients with lung cancer. We are currently evaluating optimal combinations and indications for potential further clinical trials of NUC-3373.</w:t>
      </w:r>
    </w:p>
    <w:p>
      <w:pPr>
        <w:spacing w:after="0" w:line="80"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treatment of cancer can be divided into three principal modalities: surgery, radiotherapy and therapeutics. Therapeutics include chemotherapy, immunotherapy, cell-based therapies and targeted and hormonal agents. The backbone of treatment for patients with cancer consists of chemotherapeutics, which are expected to achieve global revenues of approximately $106 billion by 2030. Despite significant progress having been made in the development of new therapeutics, most patients continue to receive chemotherapy either in combination with other treatments or as single agents at some point in their treatment pathway. Thus, we believe that more effective and safer chemotherapeutic agents will have an important role to play in the treatment of patients with cancer for the foreseeable future. We are transforming an important class of chemotherapeutic agents, nucleoside analogs, by applying a well-validated medicinal chemistry approach to overcome their limitations.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2" w:name="page63"/>
    <w:bookmarkEnd w:id="62"/>
    <w:p>
      <w:pPr>
        <w:ind w:right="120" w:firstLine="374"/>
        <w:spacing w:after="0" w:line="238" w:lineRule="auto"/>
        <w:rPr>
          <w:sz w:val="20"/>
          <w:szCs w:val="20"/>
          <w:color w:val="auto"/>
        </w:rPr>
      </w:pPr>
      <w:r>
        <w:rPr>
          <w:rFonts w:ascii="Times New Roman" w:cs="Times New Roman" w:eastAsia="Times New Roman" w:hAnsi="Times New Roman"/>
          <w:sz w:val="18"/>
          <w:szCs w:val="18"/>
          <w:color w:val="auto"/>
        </w:rPr>
        <w:t>Through harnessing the power of phosphoramidate chemistry, we convert nucleoside analogs into activated nucleotide analogs with the addition of a phosphate group, which is protected by specific combinations of aryl, ester and amino acid groupings. By adding and protecting this phosphate group, we design our ProTides to avoid or overcome the limitations associated with breakdown, uptake, activation and administration of nucleoside analogs. In the antiviral field, this phosphoramidate chemistry approach has resulted in the most successful drug launches in the history of medicine, Gilead’s sofosbuvir, or Sovaldi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which is also a key component of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Vosevi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tenofovir alafenamide fumarate (TAF), which is a key component of Biktarvy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Genvoya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Descovy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Symtuza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Vemlidy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Odefsey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addition, phosphoramidate chemistry is used in Gilead’s remdesivir, or Veklury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the treatment of patients with COVID-19.</w:t>
      </w:r>
    </w:p>
    <w:p>
      <w:pPr>
        <w:spacing w:after="0" w:line="18"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color w:val="auto"/>
        </w:rPr>
        <w:t>NUC-7738 is a phosphoramidate prodrug of 3’-deoxyadenosine (3’-dA), designed to generate higher intracellular concentrations of the active anti-cancer metabolite 3’-deoxyadenosine triphosphate (3’-dATP) compared with administration of 3’-dA. In preclinical studies, NUC-7738 increased intracellular 3’-dATP levels in human cancer cell lines, consistent with its design to address known limitations associated with the metabolism and activation of 3’-dA.</w:t>
      </w:r>
    </w:p>
    <w:p>
      <w:pPr>
        <w:spacing w:after="0" w:line="7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principal mechanism of action of NUC-7738 is disruption of RNA polyadenylation, resulting in broad changes in gene expression affecting multiple cellular pathways relevant to tumor biology. These effects have been observed across a range of cancer cell lines and translational models, including patient-derived organoids (PDOs) and PDO-tumor-infiltrating lymphocyte (TIL) co-culture systems. Affected pathways include those associated with antigen presentation and T-cell activation, PD-L1 processing, cancer cell metabolism, and ribosomal biogenesis. Comparable changes were not observed in resting peripheral blood mononuclear cells, suggesting a selective effect in malignant cells. Based on these observations, we believe NUC-7738 has potential as a rational combination partner, given its ability to modulate both tumor-intrinsic pathways and pathways within the tumor microenvironment. While current clinical evaluation is focused on combination with immune checkpoint inhibitors, the observed multi-pathway effects provide a rationale for assessment in additional therapeutic combination strategies.</w:t>
      </w:r>
    </w:p>
    <w:p>
      <w:pPr>
        <w:spacing w:after="0" w:line="84" w:lineRule="exact"/>
        <w:rPr>
          <w:sz w:val="20"/>
          <w:szCs w:val="20"/>
          <w:color w:val="auto"/>
        </w:rPr>
      </w:pPr>
    </w:p>
    <w:p>
      <w:pPr>
        <w:ind w:right="20" w:firstLine="374"/>
        <w:spacing w:after="0" w:line="247" w:lineRule="auto"/>
        <w:rPr>
          <w:sz w:val="20"/>
          <w:szCs w:val="20"/>
          <w:color w:val="auto"/>
        </w:rPr>
      </w:pPr>
      <w:r>
        <w:rPr>
          <w:rFonts w:ascii="Times New Roman" w:cs="Times New Roman" w:eastAsia="Times New Roman" w:hAnsi="Times New Roman"/>
          <w:sz w:val="18"/>
          <w:szCs w:val="18"/>
          <w:color w:val="auto"/>
        </w:rPr>
        <w:t>NUC-7738 is in the Phase 2 part of a Phase 1/2 clinical trial (NuTide:701) which evaluated NUC-7738 as a monotherapy in patients with advanced solid tumors and is currently evaluating NUC-7738 in combination with pembrolizumab in patients with melanoma. In September 2021, we presented interim data from the first 29 patients treated in this trial at the European Society of Medical Oncology (ESMO) Congress. These interim data indicated a favorable pharmacokinetic and safety profile for NUC-7738. Additionally, three case studies highlighted patients with encouraging tumor reductions who remained on NUC-7738 treatment for extended periods of time. In September 2022, we presented data from the Phase 1 dose-finding part of the NuTide:701 trial in 38 patients at ESMO. NUC-7738 had a favorable safety profile with low rates of treatment-related AEs (TRAEs), very few Grade 3 TRAEs, and no patients experiencing Grade 4 or 5 TRAEs. The maximum tolerated dose was established at 1350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Encouraging signals of anti-tumor activity across a range of tumor types were observed with numerous patients staying on treatment for extended periods, including one patient with metastatic melanoma who became eligible for complete surgical resection following eleven months of treatment with NUC-7738. In April 2023, we presented data at the American Association of Cancer Research (AACR) Annual Meeting indicating that NUC-7738 reduces soluble PD-L1 and exosomal PD-L1 in melanoma cell lines and in patients. Soluble and exosomal expression of PD-L1 have been implicated in resistance to PD-L1 and PD-1 inhibitors and these data indicate that NUC-7738 has the potential to act as an immune sensitizer and as an effective combination partner for PD-L1 pathway inhibitors.</w:t>
      </w:r>
    </w:p>
    <w:p>
      <w:pPr>
        <w:spacing w:after="0" w:line="89"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In October 2023, we presented interim data from the Phase 2 part of the NuTide:701 trial at the AACR-NCI-EORTC International Conference on Molecular Targets and Cancer Therapeutics 2023. NUC-7738 was well tolerated both as a monotherapy and in combination with pembrolizumab. Encouraging signs of efficacy, including tumor volume reductions and prolonged time on treatment, were observed in both the monotherapy and combination cohorts. In the combination cohort of melanoma patients, who had all been previously treated with PD-1 inhibitor-based therapy, numerous patients achieved tumor volume reductions and prolonged time on treatment. One patient who was refractory to the anti-PD-1 plus anti-CTLA-4 therapy combination of nivolumab plus ipilimumab achieved a 50% reduction in tumor volume on NUC-7738 plus pembrolizumab. Seven of the eleven patients recruited remained on treatment at the time of the data cut-off for the presentation. Patient tumor biopsy data showed that, following treatment with NUC-7738 plus pembrolizumab, expression of PD-1 was reduced and CD8+ T-cells increased, indicating that NUC-7738 may have the ability to potentiate immunotherapy. This finding provides a rationale as to why NUC-7738 in combination with PD-1 inhibitor-based therapy, such as pembrolizumab, may be effective in patients who have progressed on prior immunotherapy. In April 2024, we presented data from the NuTide:701 trial at the AACR Annual Meeting. First, NUC-7738 was found to increase polyunsaturated fatty acids within the TME, which is indicative of a shift to a less aggressive cancer type, and to decrease monounsaturated fatty acids which are associated with malignant behavior and chemotherapy resistance. In addition, NUC-7738 was shown to reduce lipids associated with protection against cancer cell death and to increase lipids associated with cancer cell death. Multi-modal imaging indicated that this lipid reprogramming is a result of the alteration in enzymes associated with lipid metabolism. Second, data from cancer cell lines, confirmed using paired biopsies from patients treated</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t>with NUC-7738, demonstrated that NUC-7738 caused PolyA tail shortening and significantly modulated the stability of RNAs that are important for translational control of protein synthesis. Furthermore, data also highlighted NUC-7738’s potential to influence the regulation of genes critical for cancer cell growth and survival. Additionally, in September 2024, we presented promising data from the Phase 2 part of the NuTide:701 trial at ESMO on NUC-7738 in combination with pembrolizumab for patients with metastatic melanoma who were refractory to or had relapsed on prior PD-1 inhibitor-based therapy. The data showed that 9 of the 12 patients achieved disease control when treated with NUC-7738 in combination with pembrolizumab. One of these patients, who had received two prior lines of PD-1 inhibitor-based therapy and had progressed on their latest treatment of ipilimumab plus nivolumab within two months, achieved a confirmed Partial Response with a 55% reduction in tumor volume. Another patient, who had progressed on three prior lines of PD-1 inhibitor-based therapy, achieved a Partial Response (unconfirmed) with a 32% reduction in tumor volume. These results showed encouraging median progression-free survival (PFS) of over five months for patients receiving NUC-7738 plus pembrolizumab, which is highly atypical in this patient population.</w:t>
      </w:r>
    </w:p>
    <w:p>
      <w:pPr>
        <w:spacing w:after="0" w:line="86"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In June 2025, we initiated an expansion of the Phase 2 part of the NuTide:701 trial evaluating NUC-7738 in combination with pembrolizumab in patients with metastatic melanoma and expect to report final data from this expansion study in 2026. In October 2025, we presented data at ESMO describing a novel model system evaluating the synergistic effects of NUC-7738 and PD-1 inhibition in primary organoids derived from patients with renal cell carcinoma (RCC). Using PDOs from 10 patients with RCC and autologous TILs, co-culture experiments demonstrated enhanced tumor cell killing with the combination of NUC-7738 and PD-1 inhibitors compared to PD-1 inhibition alone. These findings support the potential of NUC-7738 in combination with PD-1 inhibitors, including in tumor types that have progressed following prior anti-PD-1 therapy, through modulation of tumor-intrinsic and tumor microenvironment pathways associated with disruption of RNA polyadenylation and downstream changes in gene expression. The data presented at ESMO are consistent with the proposed mechanism of action of NUC-7738 and with observations from the ongoing Phase 2 NuTide:701 clinical trial. In December 2025, we presented further data from the Phase 2 part of the NuTide:701 trial at the ESMO Immuno-Oncology Congress, including one patient whose disease converted to a complete metabolic response with no detectable active disease. The presentation also included preliminary results from 9 patients enrolled in the Phase 2 expansion cohort of the NuTide:701 trial, with evidence of clinical activity and the combination continuing to be well-tolerated. We anticipate seeking regulatory guidance from the FDA in 2026 regarding the potential registrational pathway for NUC-7738 in melanoma.</w:t>
      </w:r>
    </w:p>
    <w:p>
      <w:pPr>
        <w:spacing w:after="0" w:line="79" w:lineRule="exact"/>
        <w:rPr>
          <w:sz w:val="20"/>
          <w:szCs w:val="20"/>
          <w:color w:val="auto"/>
        </w:rPr>
      </w:pPr>
    </w:p>
    <w:p>
      <w:pPr>
        <w:ind w:right="100" w:firstLine="374"/>
        <w:spacing w:after="0" w:line="246" w:lineRule="auto"/>
        <w:rPr>
          <w:sz w:val="20"/>
          <w:szCs w:val="20"/>
          <w:color w:val="auto"/>
        </w:rPr>
      </w:pPr>
      <w:r>
        <w:rPr>
          <w:rFonts w:ascii="Times New Roman" w:cs="Times New Roman" w:eastAsia="Times New Roman" w:hAnsi="Times New Roman"/>
          <w:sz w:val="18"/>
          <w:szCs w:val="18"/>
          <w:color w:val="auto"/>
        </w:rPr>
        <w:t>In preclinical studies, NUC-3373 was shown to be a targeted thymidylate synthase (TS) inhibitor and overcame the key limitations associated with 5-FU, generating significantly higher intracellular levels of the active anti-cancer metabolite than 5-FU while not generating toxic metabolites commonly associated with 5-FU’s side effects. NUC-3373 has been evaluated in a Phase 1 clinical trial, known as the NuTide:301 trial, in 59 patients with advanced solid tumors. The maximum tolerated dose and schedule for NUC-3373 monotherapy was established as 2500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weekly. NUC-3373 generated high levels of the active anti-cancer metabolite inside the patients’ cells and demonstrated a favorable pharmacokinetic and safety profile. Evidence of durable anti-cancer activity was observed, with at least 10 patients remaining on treatment for more than four months and three of these patients achieving prolonged stable disease with PFS lasting more than nine months. The results of this trial suggest that NUC-3373 has the potential to overcome the limitations associated with 5-FU and may be capable of achieving anti-cancer activity even in patients who have progressed on prior treatment with a fluoropyrimidine.</w:t>
      </w:r>
    </w:p>
    <w:p>
      <w:pPr>
        <w:spacing w:after="0" w:line="85"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NUC-3373 was evaluated in a Phase 1b/2 trial, known as the NuTide:302 trial, in 107 patients with metastatic colorectal cancer in which NUC-3373 was combined with agents typically used with 5-FU, including leucovorin, irinotecan, oxaliplatin and bevacizumab. In October 2019, we presented interim data from this trial at the AACR-NCI-EORTC International Conference on Molecular Targets and Cancer Therapeutics. These interim data supported the previously reported favorable pharmacokinetic profile of NUC-3373. In April 2021, we presented further interim data from this trial at the virtual AACR Annual Meeting. These interim data highlighted 38 patients who received NUC-3373 either as monotherapy or in combination with leucovorin. Eleven patient case studies showed NUC-3373’s ability to stabilize disease in a heavily pre-treated population of patients with advanced colorectal cancer and achieve prolonged durations of PFS. Several patients achieved periods of PFS that were longer than those achieved on previous regimens and tumor size reductions were observed, including in a patient known to be refractory to all prior fluoropyrimidine-containing regimens. NUC-3373 was also shown to have a favorable safety profile with no hand-foot syndrome observed, which is associated with the toxic metabolite, FBAL, and no neutropenia or Grade 3 or 4 mucositis or diarrhea adverse events, which are associated with the toxic metabolite, FUTP. In September 2022, we presented data from this trial at ESMO. These data demonstrated promising anti-tumor activity and a favorable safety and pharmacokinetic profile in combination with leucovorin and either irinotecan (NUFIRI) or oxaliplatin (NUFOX) in heavily pre-treated patients with metastatic colorectal cancer. In October 2023, we presented data from this clinical trial at the AACR-NCI-EORTC International Conference on Molecular Targets and Cancer Therapeutics 2023. In this trial, NUC-3373 demonstrated a favorable safety profile when combined with NUFIRI and bevacizumab (NUFIRI + bev) and with NUFOX and bevacizumab (NUFOX + bev). Additionally, both regimens demonstrated encouraging signs of efficacy, including tumor volume reductions in patients who were refractory to or had</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360"/>
        <w:spacing w:after="0" w:line="282" w:lineRule="auto"/>
        <w:rPr>
          <w:sz w:val="20"/>
          <w:szCs w:val="20"/>
          <w:color w:val="auto"/>
        </w:rPr>
      </w:pPr>
      <w:r>
        <w:rPr>
          <w:rFonts w:ascii="Times New Roman" w:cs="Times New Roman" w:eastAsia="Times New Roman" w:hAnsi="Times New Roman"/>
          <w:sz w:val="18"/>
          <w:szCs w:val="18"/>
          <w:color w:val="auto"/>
        </w:rPr>
        <w:t>progressed on prior fluoropyrimidine treatment. Several patients achieved a longer PFS, on NUFIRI + bev and NUFOX + bev as compared to the PFS achieved in their first-line treatment with 5-FU-based therapy.</w:t>
      </w:r>
    </w:p>
    <w:p>
      <w:pPr>
        <w:spacing w:after="0" w:line="54"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 randomized Phase 2 trial, known as the NuTide:323 trial, comparing NUC-3373 in combination with NUFIRI + bev, with 5-FU in combination with irinotecan, leucovorin, and bevacizumab (FOLFIRI + bev), for the second-line treatment of patients with advanced colorectal cancer was initiated in 2022. In October 2023, we presented data from the NuTide:323 trial at the AACR-NCI-EORTC International Conference on Molecular Targets and Cancer Therapeutics 2023. The trial recruited well, and no new safety signals were observed from the aggregated safety data from the first 40 patients enrolled. In August 2024, we announced the discontinuation of the NuTide:323 trial following a pre-planned initial analysis and recommendation from the NuTide:323 study Steering Committee. While there were prognostic imbalances favoring the control arm, the Steering Committee believed that NUFIRI + bev was unlikely to achieve the study’s primary objective of superior PFS compared to the control arm of FOLFIRI + bev in the final analysis. In all three arms, the treatment regimens were observed to have a favorable safety profile and to be generally well-tolerated, with only 12 of the 175 patients, four patients in each arm, discontinuing treatment due to adverse events.</w:t>
      </w:r>
    </w:p>
    <w:p>
      <w:pPr>
        <w:spacing w:after="0" w:line="8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order to evaluate the therapeutic potential of NUC-3373 across other cancer indications and the significant global commercial opportunity for a targeted TS inhibitor, we initated a Phase 1b/2 modular trial, known as the NuTide:303 trial. The NuTide:303 trial evaluated NUC-3373 in combination with the PD-1 inhibitor pembrolizumab in patients with advanced solid tumors (Module 1) and in combination with docetaxel for patients with lung cancer (Module 2). In November 2024, we published data from the NuTide:303 trial in medRxiv, an online preprint server for health sciences research. Module 1 included 12 patients who had exhausted all other treatment options, with the majority of patients having received prior PD-1 inhibitor-based therapy. Significant tumor volume reductions and prolonged PFS were observed, including a patient with urothelial bladder cancer who achieved 100% reduction in their target lesions and a patient with cutaneous melanoma who achieved an 81% reduction in tumor volume. These signals of anti-cancer activity indicate that NUC-3373, in addition to being a targeted TS inhibitor, may promote an anti-tumor immune response and potentiate the activity of immune checkpoint inhibitors. We are currently evaluating optimal combinations and indications for potential further clinical trials of NUC-3373.</w:t>
      </w:r>
    </w:p>
    <w:p>
      <w:pPr>
        <w:spacing w:after="0" w:line="80"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Acelarin is a ProTide transformation of the nucleoside analog gemcitabine. In clinical trials, Acelarin was well tolerated and showed anti-cancer activity in patients who were refractory to, or had progressed on, prior gemcitabine treatment. Disease control, as well as tumor shrinkages, including partial and complete responses, were observed in challenging indications, including ovarian and biliary tract cancers. In March 2022, we announced the discontinuation of the Phase 3 clinical trial, also known as the NuTide:121 trial, investigating Acelarin in combination with cisplatin versus the standard of care, gemcitabine plus cisplatin, in patients with previously untreated locally advanced or metastatic biliary tract cancer. This decision was made following a pre-planned futility analysis by the trial’s Independent Data Monitoring Committee. Although a higher objective response rate, as assessed by Blinded Independent Central Review, was observed in the Acelarin plus cisplatin arm, this did not translate into an overall survival benefit. We are assessing future development options for Acelarin in biliary tract cancer which may explore lower doses of Acelarin, alternative combination partners or specific sub-sets of biliary tract cancer patients. Indications other than biliary tract cancer are also being assessed as future development options for Acelarin.</w:t>
      </w:r>
    </w:p>
    <w:p>
      <w:pPr>
        <w:spacing w:after="0" w:line="8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Our proprietary ProTide technology was invented in the Cardiff University laboratory of our late Chief Scientific Officer, Professor Christopher McGuigan, who conceived of and filed the original composition of matter patents for our initial ProTides. The unique feature of his discovery was the specific combination of aryl, ester and amino acid groupings that protect the activated, or phosphorylated, nucleoside analog. This phosphoramidate chemistry approach is the key to the ProTide technology. Every ProTide grouping is distinct, and Professor McGuigan and his team synthesized and tested thousands of compounds in order to identify the optimal ProTide grouping for each underlying nucleoside analog.</w:t>
      </w:r>
    </w:p>
    <w:p>
      <w:pPr>
        <w:spacing w:after="0" w:line="75" w:lineRule="exact"/>
        <w:rPr>
          <w:sz w:val="20"/>
          <w:szCs w:val="20"/>
          <w:color w:val="auto"/>
        </w:rPr>
      </w:pPr>
    </w:p>
    <w:p>
      <w:pPr>
        <w:ind w:right="180" w:firstLine="374"/>
        <w:spacing w:after="0" w:line="247" w:lineRule="auto"/>
        <w:rPr>
          <w:sz w:val="20"/>
          <w:szCs w:val="20"/>
          <w:color w:val="auto"/>
        </w:rPr>
      </w:pPr>
      <w:r>
        <w:rPr>
          <w:rFonts w:ascii="Times New Roman" w:cs="Times New Roman" w:eastAsia="Times New Roman" w:hAnsi="Times New Roman"/>
          <w:sz w:val="18"/>
          <w:szCs w:val="18"/>
          <w:color w:val="auto"/>
        </w:rPr>
        <w:t>We have licensed what we believe to be the foundational patent estate for the application of phosphoramidate chemistry in oncology. We own granted patents in key markets, including the United States, Europe, China and Japan, protecting the composition of matter of NUC-7738 and NUC-3373 and other of our product candidates. Professor McGuigan’s work preceded and helped lead to the development of several FDA-approved anti-viral drugs containing ProTides, including: sofosbuvir, or Sovaldi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also a key component of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Vosevi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tenofovir alafenamide fumarate (TAF), which is a key component of Biktarvy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Genvoya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Descovy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Symtuza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Vemlidy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Odefsey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remdesivir, or Veklury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8"/>
          <w:szCs w:val="18"/>
          <w:color w:val="auto"/>
        </w:rPr>
        <w:t>We are led by Hugh Griffith, our founder and Chief Executive Officer, who brings over 30 years of experience in the biopharmaceutical industry, including at Abbott Laboratories (now AbbVie Inc.) and Parke-Davis Warner Lambert (now Pfizer Inc.). Before founding NuCana, he was Chief Operating Officer at Bioenvision, Inc. from start-up through its acquisition by Genzyme Corporation. While at Bioenvision, he was instrumental in developing and commercializing clofarabine, a nucleoside analog for the treatment of pediatric acute leukemia.</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400" w:firstLine="495"/>
        <w:spacing w:after="0" w:line="282" w:lineRule="auto"/>
        <w:rPr>
          <w:sz w:val="20"/>
          <w:szCs w:val="20"/>
          <w:color w:val="auto"/>
        </w:rPr>
      </w:pPr>
      <w:r>
        <w:rPr>
          <w:rFonts w:ascii="Times New Roman" w:cs="Times New Roman" w:eastAsia="Times New Roman" w:hAnsi="Times New Roman"/>
          <w:sz w:val="18"/>
          <w:szCs w:val="18"/>
          <w:color w:val="auto"/>
        </w:rPr>
        <w:t>Our goal is to improve the survival outcomes and the safety profile of treatment for patients with cancer across a wide range of indications. Our strategy includes the following key components:</w:t>
      </w:r>
    </w:p>
    <w:p>
      <w:pPr>
        <w:spacing w:after="0" w:line="50"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Rapidly develop NUC-7738 as a treatment for patients with cancer.</w:t>
      </w:r>
    </w:p>
    <w:p>
      <w:pPr>
        <w:spacing w:after="0" w:line="229" w:lineRule="exact"/>
        <w:rPr>
          <w:rFonts w:ascii="Times New Roman" w:cs="Times New Roman" w:eastAsia="Times New Roman" w:hAnsi="Times New Roman"/>
          <w:sz w:val="18"/>
          <w:szCs w:val="18"/>
          <w:color w:val="auto"/>
        </w:rPr>
      </w:pPr>
    </w:p>
    <w:p>
      <w:pPr>
        <w:ind w:left="1020"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initiated an expansion of the Phase 2 part of the NuTide:701 trial of NUC-7738 in combination with pembrolizumab in patients with metastatic melanoma and we expect to announce data from this NuTide:701 expansion study in 2026. We also anticipate obtaining regulatory guidance from the FDA on our registrational strategy for NUC-7738 in melanoma in 2026.</w:t>
      </w:r>
    </w:p>
    <w:p>
      <w:pPr>
        <w:spacing w:after="0" w:line="175" w:lineRule="exact"/>
        <w:rPr>
          <w:rFonts w:ascii="Times New Roman" w:cs="Times New Roman" w:eastAsia="Times New Roman" w:hAnsi="Times New Roman"/>
          <w:sz w:val="18"/>
          <w:szCs w:val="18"/>
          <w:color w:val="auto"/>
        </w:rPr>
      </w:pPr>
    </w:p>
    <w:p>
      <w:pPr>
        <w:ind w:left="102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presented data from the NuTide:701 trial at the annual ESMO Immuno-Oncology Congress on NUC-7738 in combination with pembrolizumab for patients with metastatic melanoma who were refractory to or had relapsed on prior PD-1 inhibitor-based therapy. The data from the Phase 2 initial dose-confirmation stage of the NuTide:701 trial showed that 9 of the 12 patients achieved disease control when treated with NUC-7738 in combination with pembrolizumab. Two patients achieved Partial Responses, one confirmed with a 55% reduction in tumor volume and one unconfirmed with a 32% reduction in tumor volume. Seven patients achieved stable disease including one ongoing stable disease converting to a complete metabolic response with no detectable active disease. These results showed encouraging median PFS of over five months.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optimal combinations and indications for development of NUC-3373.</w:t>
      </w:r>
    </w:p>
    <w:p>
      <w:pPr>
        <w:spacing w:after="0" w:line="229" w:lineRule="exact"/>
        <w:rPr>
          <w:rFonts w:ascii="Times New Roman" w:cs="Times New Roman" w:eastAsia="Times New Roman" w:hAnsi="Times New Roman"/>
          <w:sz w:val="18"/>
          <w:szCs w:val="18"/>
          <w:color w:val="auto"/>
        </w:rPr>
      </w:pPr>
    </w:p>
    <w:p>
      <w:pPr>
        <w:ind w:lef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published data in medRxiv from the Phase 1b/2 modular NuTide:303 clinical trial of NUC-3373 in combination with the PD-1 inhibitor pembrolizumab for patients with advanced solid tumors and in combination with docetaxel for patients with lung cancer. Significant tumor volume reductions and prolonged PFS were observed, including a patient with urothelial bladder cancer who achieved 100% reduction in their target lesions and remained on treatment for over 15 months; and a patient with metastatic melanoma that was resistant to prior pembrolizumab therapy who achieved an 81% reduction in tumor volume and remained progression-free at 23 months. These signals of anti-cancer activity indicate that NUC-3373, in addition to being a targeted TS inhibitor, may promote an anti-tumor immune response and potentiate the activity of immune checkpoint inhibitors.</w:t>
      </w:r>
    </w:p>
    <w:p>
      <w:pPr>
        <w:spacing w:after="0" w:line="80" w:lineRule="exact"/>
        <w:rPr>
          <w:rFonts w:ascii="Times New Roman" w:cs="Times New Roman" w:eastAsia="Times New Roman" w:hAnsi="Times New Roman"/>
          <w:sz w:val="18"/>
          <w:szCs w:val="18"/>
          <w:color w:val="auto"/>
        </w:rPr>
      </w:pPr>
    </w:p>
    <w:p>
      <w:pPr>
        <w:ind w:left="102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evaluating optimal combinations and indications for potential further clinical trials of NUC-3373 and expect to announce our development plan in 2026.</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our proprietary ProTide technology platform to develop additional product candidates.</w:t>
      </w:r>
    </w:p>
    <w:p>
      <w:pPr>
        <w:spacing w:after="0" w:line="229" w:lineRule="exact"/>
        <w:rPr>
          <w:rFonts w:ascii="Times New Roman" w:cs="Times New Roman" w:eastAsia="Times New Roman" w:hAnsi="Times New Roman"/>
          <w:sz w:val="18"/>
          <w:szCs w:val="18"/>
          <w:color w:val="auto"/>
        </w:rPr>
      </w:pPr>
    </w:p>
    <w:p>
      <w:pPr>
        <w:ind w:left="1020" w:right="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pursuing the transformation of both widely used nucleoside analogs and novel nucleoside analogs, which we believe have the potential to address additional areas of unmet medical need in oncology.</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protect and strengthen our intellectual property position.</w:t>
      </w:r>
    </w:p>
    <w:p>
      <w:pPr>
        <w:spacing w:after="0" w:line="229" w:lineRule="exact"/>
        <w:rPr>
          <w:rFonts w:ascii="Times New Roman" w:cs="Times New Roman" w:eastAsia="Times New Roman" w:hAnsi="Times New Roman"/>
          <w:sz w:val="18"/>
          <w:szCs w:val="18"/>
          <w:color w:val="auto"/>
        </w:rPr>
      </w:pPr>
    </w:p>
    <w:p>
      <w:pPr>
        <w:ind w:left="102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or have exclusive rights to the core technologies underlying our ProTide technology platform. We have been granted patents in key markets, including the United States, Europe, China and Japan, protecting the composition of matter of NUC-7738, NUC-3373 and other of our product candidates. We intend to further expand and enhance our intellectual property position. We are actively evaluating new intellectual property opportunities as they arise, with the intention of further expanding our intellectual property position and defending our patents when necessary.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 a focused commercial organization.</w:t>
      </w:r>
    </w:p>
    <w:p>
      <w:pPr>
        <w:spacing w:after="0" w:line="229" w:lineRule="exact"/>
        <w:rPr>
          <w:rFonts w:ascii="Times New Roman" w:cs="Times New Roman" w:eastAsia="Times New Roman" w:hAnsi="Times New Roman"/>
          <w:sz w:val="18"/>
          <w:szCs w:val="18"/>
          <w:color w:val="auto"/>
        </w:rPr>
      </w:pPr>
    </w:p>
    <w:p>
      <w:pPr>
        <w:ind w:left="102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worldwide rights to all product candidates that we are developing. We believe that the healthcare professionals who treat the majority of patients with the cancers we are initially targeting with our ProTides can be addressed by a relatively focused sales and marketing team. We currently plan to commercialize any product candidates for which we receive regulatory marketing approval using a specialized sales force, either independently or in partnership with a commercialization partner, in the United States and Europe.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180" w:firstLine="495"/>
        <w:spacing w:after="0" w:line="329" w:lineRule="auto"/>
        <w:rPr>
          <w:sz w:val="20"/>
          <w:szCs w:val="20"/>
          <w:color w:val="auto"/>
        </w:rPr>
      </w:pPr>
      <w:r>
        <w:rPr>
          <w:rFonts w:ascii="Times New Roman" w:cs="Times New Roman" w:eastAsia="Times New Roman" w:hAnsi="Times New Roman"/>
          <w:sz w:val="17"/>
          <w:szCs w:val="17"/>
          <w:color w:val="auto"/>
        </w:rPr>
        <w:t>We take a scientifically driven approach to designing ProTides, which we believe have the potential to result in highly efficacious cancer therapies with improved tolerability. Our pipeline of product candidates in clinical development and their current development stage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91440</wp:posOffset>
            </wp:positionV>
            <wp:extent cx="5760720" cy="255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and the Need for Improved Treatment Options</w:t>
      </w:r>
    </w:p>
    <w:p>
      <w:pPr>
        <w:spacing w:after="0" w:line="229" w:lineRule="exact"/>
        <w:rPr>
          <w:sz w:val="20"/>
          <w:szCs w:val="20"/>
          <w:color w:val="auto"/>
        </w:rPr>
      </w:pPr>
    </w:p>
    <w:p>
      <w:pPr>
        <w:ind w:right="60" w:firstLine="495"/>
        <w:spacing w:after="0" w:line="282" w:lineRule="auto"/>
        <w:rPr>
          <w:sz w:val="20"/>
          <w:szCs w:val="20"/>
          <w:color w:val="auto"/>
        </w:rPr>
      </w:pPr>
      <w:r>
        <w:rPr>
          <w:rFonts w:ascii="Times New Roman" w:cs="Times New Roman" w:eastAsia="Times New Roman" w:hAnsi="Times New Roman"/>
          <w:sz w:val="18"/>
          <w:szCs w:val="18"/>
          <w:color w:val="auto"/>
        </w:rPr>
        <w:t>Cancer is the second leading cause of death in the United States, with over 2 million new cases and approximately 626,000 deaths expected in 2026, excluding non-melanoma skin cancers, according to the American Cancer Society.</w:t>
      </w:r>
    </w:p>
    <w:p>
      <w:pPr>
        <w:spacing w:after="0" w:line="162" w:lineRule="exact"/>
        <w:rPr>
          <w:sz w:val="20"/>
          <w:szCs w:val="20"/>
          <w:color w:val="auto"/>
        </w:rPr>
      </w:pPr>
    </w:p>
    <w:p>
      <w:pPr>
        <w:ind w:right="160" w:firstLine="495"/>
        <w:spacing w:after="0" w:line="282" w:lineRule="auto"/>
        <w:rPr>
          <w:sz w:val="20"/>
          <w:szCs w:val="20"/>
          <w:color w:val="auto"/>
        </w:rPr>
      </w:pPr>
      <w:r>
        <w:rPr>
          <w:rFonts w:ascii="Times New Roman" w:cs="Times New Roman" w:eastAsia="Times New Roman" w:hAnsi="Times New Roman"/>
          <w:sz w:val="18"/>
          <w:szCs w:val="18"/>
          <w:color w:val="auto"/>
        </w:rPr>
        <w:t>The treatment of cancer can be divided into three principal modalities: surgery, radiotherapy and therapeutics. Therapeutics include chemotherapy, immunotherapy, cell-based therapies and targeted and hormonal agents.</w:t>
      </w:r>
    </w:p>
    <w:p>
      <w:pPr>
        <w:spacing w:after="0" w:line="162"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Chemotherapy continues to play a central role in the treatment of solid and hematologic malignancies and remains a component of many standard-of-care regimens, with the global chemotherapy market projected to reach approximately $106 billion by 2030. The number of new patients requiring chemotherapy each year is also predicted to increase, with projections estimated to rise from 9.8 million in 2018 to 15 million in 2040. Chemotherapeutics exert their effects by killing cancer cells or preventing them from replicating and are often used in combination with other therapies. Within the larger universe of chemotherapy, nucleoside analogs, such as 5-FU, play a significant role. Nucleoside analogs have been in clinical use for over 50 years and have become cornerstones of treatment for patients with cancer. The FDA has approved 16 nucleoside analogs for the treatment of cancer and many of these have become the standard of care globally for patients. FDA-approved anti-cancer nucleoside analogs are: 5-FU; capecitabine; gemcitabine; floxuridine; clofarabine; fludarabine; cytarabine; azacytidine; decitabine; nelarabine; cladribine; pentostatin; 6-mercaptopurine; tipiracil; 6-thioguanine; and trifluorothymidine. The World Health Organization has classified seven of these nucleoside analogs, including 5-FU, as Essential Medicines, which they define as medicines that satisfy the priority healthcare needs of the population and should be available at all times.</w:t>
      </w:r>
    </w:p>
    <w:p>
      <w:pPr>
        <w:spacing w:after="0" w:line="194" w:lineRule="exact"/>
        <w:rPr>
          <w:sz w:val="20"/>
          <w:szCs w:val="20"/>
          <w:color w:val="auto"/>
        </w:rPr>
      </w:pPr>
    </w:p>
    <w:p>
      <w:pPr>
        <w:ind w:right="20" w:firstLine="495"/>
        <w:spacing w:after="0" w:line="242" w:lineRule="auto"/>
        <w:rPr>
          <w:sz w:val="20"/>
          <w:szCs w:val="20"/>
          <w:color w:val="auto"/>
        </w:rPr>
      </w:pPr>
      <w:r>
        <w:rPr>
          <w:rFonts w:ascii="Times New Roman" w:cs="Times New Roman" w:eastAsia="Times New Roman" w:hAnsi="Times New Roman"/>
          <w:sz w:val="18"/>
          <w:szCs w:val="18"/>
          <w:color w:val="auto"/>
        </w:rPr>
        <w:t>Many chemotherapies have generated significant sales. Approximately 275,000 patients per year in the United States receive intravenous 5-FU, which is widely used for the treatment of many cancers, including colorectal, breast, stomach, head and neck, and pancreatic cancers. The oral version of a derivative of 5-FU, known as capecitabine and marketed as Xeloda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colorectal and breast cancer, had worldwide sales of $1.5 billion in 2012, before the market launch of generic competitors. We believe the number of patients receiving capecitabine represents a small proportion of the overall number of patients treated with 5-FU.</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Shortcomings of Nucleoside Analogs</w:t>
      </w:r>
    </w:p>
    <w:p>
      <w:pPr>
        <w:spacing w:after="0" w:line="229" w:lineRule="exact"/>
        <w:rPr>
          <w:sz w:val="20"/>
          <w:szCs w:val="20"/>
          <w:color w:val="auto"/>
        </w:rPr>
      </w:pPr>
    </w:p>
    <w:p>
      <w:pPr>
        <w:ind w:right="20" w:firstLine="495"/>
        <w:spacing w:after="0" w:line="282" w:lineRule="auto"/>
        <w:rPr>
          <w:sz w:val="20"/>
          <w:szCs w:val="20"/>
          <w:color w:val="auto"/>
        </w:rPr>
      </w:pPr>
      <w:r>
        <w:rPr>
          <w:rFonts w:ascii="Times New Roman" w:cs="Times New Roman" w:eastAsia="Times New Roman" w:hAnsi="Times New Roman"/>
          <w:sz w:val="18"/>
          <w:szCs w:val="18"/>
          <w:color w:val="auto"/>
        </w:rPr>
        <w:t>Despite the widespread uses of nucleoside analogs, their efficacy and safety are severely limited by major shortcomings, including breakdown, poor pharmacokinetic properties, requirement for uptake by transporters, and inefficient metabolic pathways to generate the active anti-cancer metabolite.</w:t>
      </w:r>
    </w:p>
    <w:p>
      <w:pPr>
        <w:spacing w:after="0" w:line="162" w:lineRule="exact"/>
        <w:rPr>
          <w:sz w:val="20"/>
          <w:szCs w:val="20"/>
          <w:color w:val="auto"/>
        </w:rPr>
      </w:pPr>
    </w:p>
    <w:p>
      <w:pPr>
        <w:ind w:firstLine="495"/>
        <w:spacing w:after="0" w:line="261" w:lineRule="auto"/>
        <w:rPr>
          <w:sz w:val="20"/>
          <w:szCs w:val="20"/>
          <w:color w:val="auto"/>
        </w:rPr>
      </w:pPr>
      <w:r>
        <w:rPr>
          <w:rFonts w:ascii="Times New Roman" w:cs="Times New Roman" w:eastAsia="Times New Roman" w:hAnsi="Times New Roman"/>
          <w:sz w:val="18"/>
          <w:szCs w:val="18"/>
          <w:color w:val="auto"/>
        </w:rPr>
        <w:t>Nucleoside analogs block the replication of cancer cells by providing faulty DNA and RNA building blocks during the cell replication process or by blocking enzymes necessary for the production of these DNA and RNA building blocks. These processes lead to disruption of DNA and RNA replication resulting in cancer cell death, often through induction of apoptosis. However, there are several major shortcomings that limit the efficacy of existing nucleoside analogs including:</w:t>
      </w:r>
    </w:p>
    <w:p>
      <w:pPr>
        <w:spacing w:after="0" w:line="68" w:lineRule="exact"/>
        <w:rPr>
          <w:sz w:val="20"/>
          <w:szCs w:val="20"/>
          <w:color w:val="auto"/>
        </w:rPr>
      </w:pPr>
    </w:p>
    <w:p>
      <w:pPr>
        <w:ind w:left="1020" w:right="40" w:hanging="503"/>
        <w:spacing w:after="0" w:line="257"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Breakdown and Toxic Byproducts</w:t>
      </w:r>
      <w:r>
        <w:rPr>
          <w:rFonts w:ascii="Times New Roman" w:cs="Times New Roman" w:eastAsia="Times New Roman" w:hAnsi="Times New Roman"/>
          <w:sz w:val="18"/>
          <w:szCs w:val="18"/>
          <w:color w:val="auto"/>
        </w:rPr>
        <w:t>. Multiple enzymatic processes can break down nucleoside analogs, resulting in their degradation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phosphorylation. For example, 3’-dA, the parent nucleoside analog of NUC-7738 is rapidly broken down by the enzyme adenosine deaminase (ADA), preventing the generation of the active anti-cancer metabolite, 3’-dATP. Breakdown can also result in the generation of catabolites that can lead to off-target toxicity. For example, the breakdown of 5-FU is known to result in the generation of a toxic byproduct called FBAL, which has been associated with off-target toxicity including “hand-foot syndrome”, a debilitating side effect that commonly causes dose reductions or discontinuation of therapy. Breakdown can take place either inside or outside the cancer cell.</w:t>
      </w:r>
    </w:p>
    <w:p>
      <w:pPr>
        <w:spacing w:after="0" w:line="74" w:lineRule="exact"/>
        <w:rPr>
          <w:rFonts w:ascii="Times New Roman" w:cs="Times New Roman" w:eastAsia="Times New Roman" w:hAnsi="Times New Roman"/>
          <w:sz w:val="18"/>
          <w:szCs w:val="18"/>
          <w:color w:val="auto"/>
        </w:rPr>
      </w:pPr>
    </w:p>
    <w:p>
      <w:pPr>
        <w:ind w:left="1020" w:right="140" w:hanging="503"/>
        <w:spacing w:after="0" w:line="26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Uptake by transporters</w:t>
      </w:r>
      <w:r>
        <w:rPr>
          <w:rFonts w:ascii="Times New Roman" w:cs="Times New Roman" w:eastAsia="Times New Roman" w:hAnsi="Times New Roman"/>
          <w:sz w:val="18"/>
          <w:szCs w:val="18"/>
          <w:color w:val="auto"/>
        </w:rPr>
        <w:t>. Nucleoside analogs require specific active-transport proteins in the cell membrane to enter cancer cells. If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proteins are missing or down-regulated, nucleoside analogs cannot enter the cancer cell to exert their anti-cancer effect. Transport proteins are often not expressed at sufficient levels in many solid tumor cancers which can result in poorer outcomes for patients treated with nucleoside analogs.</w:t>
      </w:r>
    </w:p>
    <w:p>
      <w:pPr>
        <w:spacing w:after="0" w:line="68" w:lineRule="exact"/>
        <w:rPr>
          <w:rFonts w:ascii="Times New Roman" w:cs="Times New Roman" w:eastAsia="Times New Roman" w:hAnsi="Times New Roman"/>
          <w:sz w:val="18"/>
          <w:szCs w:val="18"/>
          <w:color w:val="auto"/>
        </w:rPr>
      </w:pPr>
    </w:p>
    <w:p>
      <w:pPr>
        <w:jc w:val="both"/>
        <w:ind w:left="1020" w:right="160" w:hanging="503"/>
        <w:spacing w:after="0" w:line="259"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Inefficient metabolic activation pathways</w:t>
      </w:r>
      <w:r>
        <w:rPr>
          <w:rFonts w:ascii="Times New Roman" w:cs="Times New Roman" w:eastAsia="Times New Roman" w:hAnsi="Times New Roman"/>
          <w:sz w:val="18"/>
          <w:szCs w:val="18"/>
          <w:color w:val="auto"/>
        </w:rPr>
        <w:t>. Nucleoside analogs are all dosed as inactive precursors, or prodrugs, because their active forms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unstable and their negative charge further prevents them from entering cells. They must therefore undergo activation through complex metabolic pathways to generate the anti-cancer metabolites. Naturally occurring enzymes are required for this activation and the levels of these enzymes vary from person to person and can also be poorly expressed in cancer cells. This results in unpredictable metabolism and activation of nucleoside analogs.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Poor pharmacokinetic properties</w:t>
      </w:r>
      <w:r>
        <w:rPr>
          <w:rFonts w:ascii="Times New Roman" w:cs="Times New Roman" w:eastAsia="Times New Roman" w:hAnsi="Times New Roman"/>
          <w:sz w:val="18"/>
          <w:szCs w:val="18"/>
          <w:color w:val="auto"/>
        </w:rPr>
        <w:t>. Due to rapid breakdown and poor pharmacokinetic (PK) properties, nucleoside analogs can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challenging administration schedules, which are burdensome and inconvenient for both patients and healthcare providers. For example, the plasma half-life of 5-FU is very short at 8 to 14 minutes, resulting in the need for prolonged infusion times over 46 hours to enable uptake and activation of 5-FU to generate the main anti-cancer metabolite in the cancer cell.</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Our ProTide Technology and its Key Advantages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NuCana’s ProTides are new chemical entities specifically designed to overcome the key challenges associated with nucleoside analogs, as shown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142875</wp:posOffset>
            </wp:positionV>
            <wp:extent cx="4749165" cy="2143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4916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495"/>
        <w:spacing w:after="0" w:line="261" w:lineRule="auto"/>
        <w:rPr>
          <w:sz w:val="20"/>
          <w:szCs w:val="20"/>
          <w:color w:val="auto"/>
        </w:rPr>
      </w:pPr>
      <w:r>
        <w:rPr>
          <w:rFonts w:ascii="Times New Roman" w:cs="Times New Roman" w:eastAsia="Times New Roman" w:hAnsi="Times New Roman"/>
          <w:sz w:val="18"/>
          <w:szCs w:val="18"/>
          <w:color w:val="auto"/>
        </w:rPr>
        <w:t>By harnessing the power of phosphoramidate chemistry, we transform nucleoside analogs into activated nucleotide analogs with the addition of a phosphate group, which is protected by specific combinations of aryl, ester and amino acid groupings. We refer to these compounds as ProTides. We are applying our ProTide technology both to nucleoside analogs currently approved for the treatment of patients with cancer and to nucleoside analogs that have great promise but have not successfully been developed due to challenges with breakdown, uptake, activation and/or administration.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8"/>
          <w:szCs w:val="18"/>
          <w:color w:val="auto"/>
        </w:rPr>
        <w:t>A graphical representation of the chemical structure of nucleoside analogs, nucleotide analogs and ProTides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154305</wp:posOffset>
            </wp:positionV>
            <wp:extent cx="4723130" cy="33947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2313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Our researchers have invested over two decades of work in designing, synthesizing and screening ProTides, which we believe are optimally designed to overcome the key limitations of nucleoside analogs for the treatment of patients with cancer. We have gained considerable insight from our scientific founders and executives in understanding phosphoramidate chemistry and the biology of how nucleotide analogs are able to exert their anti-cancer effects. Based on these learnings, we are able to efficiently create hundreds of target candidates from the millions of potential candidates. We then perform biological testing on these target candidates to select our lead ProTides.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NUC-7738: A Transformation of 3’-dA</w:t>
      </w:r>
    </w:p>
    <w:p>
      <w:pPr>
        <w:spacing w:after="0" w:line="121"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 xml:space="preserve">NUC-7738 is a ProTide transformation of 3’-dA, also known as cordycepin, a nucleoside analog that was originally isolated from the fungus </w:t>
      </w:r>
      <w:r>
        <w:rPr>
          <w:rFonts w:ascii="Times New Roman" w:cs="Times New Roman" w:eastAsia="Times New Roman" w:hAnsi="Times New Roman"/>
          <w:sz w:val="18"/>
          <w:szCs w:val="18"/>
          <w:i w:val="1"/>
          <w:iCs w:val="1"/>
          <w:color w:val="auto"/>
        </w:rPr>
        <w:t xml:space="preserve">Cordyceps sinensis </w:t>
      </w:r>
      <w:r>
        <w:rPr>
          <w:rFonts w:ascii="Times New Roman" w:cs="Times New Roman" w:eastAsia="Times New Roman" w:hAnsi="Times New Roman"/>
          <w:sz w:val="18"/>
          <w:szCs w:val="18"/>
          <w:color w:val="auto"/>
        </w:rPr>
        <w:t>in 1950. Since that time, 3’-dA showed potent anti-cancer activity in preclinical studies, but has not been successfully developed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as a treatment for patients with cancer due to rapid breakdown by the enzyme ADA. The cytotoxic effect of 3’-dA is largely attributed to the generation of the active anti-cancer metabolite, 3’-dATP, which disrupts RNA polyadenylation, profoundly impacts gene expression in cancer cells, and targets multiple aspects of the TME. Similar to our other ProTides, NUC-7738 is designed to generate the active anti-cancer metabolite of 3’-dA directly inside cells, bypassing the key limitations associated with breakdown, transportation and activation.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3’-dA and its limitations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Similar to other nucleoside analogs, major shortcomings have limited the successful clinical development of 3’-dA.</w:t>
      </w:r>
    </w:p>
    <w:p>
      <w:pPr>
        <w:spacing w:after="0" w:line="113" w:lineRule="exact"/>
        <w:rPr>
          <w:sz w:val="20"/>
          <w:szCs w:val="20"/>
          <w:color w:val="auto"/>
        </w:rPr>
      </w:pPr>
    </w:p>
    <w:p>
      <w:pPr>
        <w:ind w:right="20" w:firstLine="382"/>
        <w:spacing w:after="0" w:line="268" w:lineRule="auto"/>
        <w:tabs>
          <w:tab w:leader="none" w:pos="599"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Subject to breakdown. </w:t>
      </w:r>
      <w:r>
        <w:rPr>
          <w:rFonts w:ascii="Times New Roman" w:cs="Times New Roman" w:eastAsia="Times New Roman" w:hAnsi="Times New Roman"/>
          <w:sz w:val="18"/>
          <w:szCs w:val="18"/>
          <w:color w:val="auto"/>
        </w:rPr>
        <w:t>3’-dA is rapidly broken down by the enzyme ADA, preventing its activation and generation of its active anti-cancer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the anti-cancer effect of 3’-dA is readily negated by ADA. This rapid breakdown is the key limiting factor that has prevented the successful development of 3’-dA in the clinic.</w:t>
      </w:r>
    </w:p>
    <w:p>
      <w:pPr>
        <w:spacing w:after="0" w:line="62" w:lineRule="exact"/>
        <w:rPr>
          <w:rFonts w:ascii="Times New Roman" w:cs="Times New Roman" w:eastAsia="Times New Roman" w:hAnsi="Times New Roman"/>
          <w:sz w:val="18"/>
          <w:szCs w:val="18"/>
          <w:b w:val="1"/>
          <w:bCs w:val="1"/>
          <w:i w:val="1"/>
          <w:iCs w:val="1"/>
          <w:color w:val="auto"/>
        </w:rPr>
      </w:pPr>
    </w:p>
    <w:p>
      <w:pPr>
        <w:ind w:right="280" w:firstLine="382"/>
        <w:spacing w:after="0" w:line="286" w:lineRule="auto"/>
        <w:tabs>
          <w:tab w:leader="none" w:pos="599"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Requires active transport. </w:t>
      </w:r>
      <w:r>
        <w:rPr>
          <w:rFonts w:ascii="Times New Roman" w:cs="Times New Roman" w:eastAsia="Times New Roman" w:hAnsi="Times New Roman"/>
          <w:sz w:val="18"/>
          <w:szCs w:val="18"/>
          <w:color w:val="auto"/>
        </w:rPr>
        <w:t>3’-dA requires the nucleoside transporter, hENT1, to cross the cancer cell membrane. Therefore, hENT1-deficient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cells are highly resistant to 3’-dA.</w:t>
      </w:r>
    </w:p>
    <w:p>
      <w:pPr>
        <w:spacing w:after="0" w:line="46" w:lineRule="exact"/>
        <w:rPr>
          <w:rFonts w:ascii="Times New Roman" w:cs="Times New Roman" w:eastAsia="Times New Roman" w:hAnsi="Times New Roman"/>
          <w:sz w:val="18"/>
          <w:szCs w:val="18"/>
          <w:b w:val="1"/>
          <w:bCs w:val="1"/>
          <w:i w:val="1"/>
          <w:iCs w:val="1"/>
          <w:color w:val="auto"/>
        </w:rPr>
      </w:pPr>
    </w:p>
    <w:p>
      <w:pPr>
        <w:ind w:right="420" w:firstLine="382"/>
        <w:spacing w:after="0" w:line="286" w:lineRule="auto"/>
        <w:tabs>
          <w:tab w:leader="none" w:pos="599"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Requires activation within the cancer cell. </w:t>
      </w:r>
      <w:r>
        <w:rPr>
          <w:rFonts w:ascii="Times New Roman" w:cs="Times New Roman" w:eastAsia="Times New Roman" w:hAnsi="Times New Roman"/>
          <w:sz w:val="18"/>
          <w:szCs w:val="18"/>
          <w:color w:val="auto"/>
        </w:rPr>
        <w:t>3’-dA must be converted to its active form once inside the cancer cell. The rate-limiting step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activation requires the addition of the first phosphate group, in this case by an enzyme called</w:t>
      </w: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70" w:name="page71"/>
    <w:bookmarkEnd w:id="70"/>
    <w:p>
      <w:pPr>
        <w:ind w:right="40"/>
        <w:spacing w:after="0" w:line="282" w:lineRule="auto"/>
        <w:rPr>
          <w:sz w:val="20"/>
          <w:szCs w:val="20"/>
          <w:color w:val="auto"/>
        </w:rPr>
      </w:pPr>
      <w:r>
        <w:rPr>
          <w:rFonts w:ascii="Times New Roman" w:cs="Times New Roman" w:eastAsia="Times New Roman" w:hAnsi="Times New Roman"/>
          <w:sz w:val="18"/>
          <w:szCs w:val="18"/>
          <w:color w:val="auto"/>
        </w:rPr>
        <w:t>adenosine kinase (AK). This phosphorylated form of 3’-dA, 3’-dA monophosphate (3’-dAMP) is subsequently converted into 3’-dA diphosphate, which is then converted to 3’-dATP.</w:t>
      </w:r>
    </w:p>
    <w:p>
      <w:pPr>
        <w:spacing w:after="0" w:line="50" w:lineRule="exact"/>
        <w:rPr>
          <w:sz w:val="20"/>
          <w:szCs w:val="20"/>
          <w:color w:val="auto"/>
        </w:rPr>
      </w:pPr>
    </w:p>
    <w:p>
      <w:pPr>
        <w:ind w:right="120" w:firstLine="382"/>
        <w:spacing w:after="0" w:line="286" w:lineRule="auto"/>
        <w:tabs>
          <w:tab w:leader="none" w:pos="599"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Poor PK properties. </w:t>
      </w:r>
      <w:r>
        <w:rPr>
          <w:rFonts w:ascii="Times New Roman" w:cs="Times New Roman" w:eastAsia="Times New Roman" w:hAnsi="Times New Roman"/>
          <w:sz w:val="18"/>
          <w:szCs w:val="18"/>
          <w:color w:val="auto"/>
        </w:rPr>
        <w:t>3’-dA has a short half-life both in plasma and intracellularly, due to rapid deamination by the enzyme ADA. These poor PK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lead to dosing administration challenges and have also prevented the clinical development of 3’-dA as a cancer therapy.</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Solution: NUC-7738</w:t>
      </w:r>
    </w:p>
    <w:p>
      <w:pPr>
        <w:spacing w:after="0" w:line="121"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 xml:space="preserve">NUC-7738 is a phosphoramidate prodrug of 3’-dA, also known as cordycepin, developed to generate higher intracellular concentrations of the active metabolite </w:t>
      </w:r>
      <w:r>
        <w:rPr>
          <w:rFonts w:ascii="Times New Roman" w:cs="Times New Roman" w:eastAsia="Times New Roman" w:hAnsi="Times New Roman"/>
          <w:sz w:val="18"/>
          <w:szCs w:val="18"/>
          <w:color w:val="212121"/>
        </w:rPr>
        <w:t>3’-dATP</w:t>
      </w:r>
      <w:r>
        <w:rPr>
          <w:rFonts w:ascii="Times New Roman" w:cs="Times New Roman" w:eastAsia="Times New Roman" w:hAnsi="Times New Roman"/>
          <w:sz w:val="18"/>
          <w:szCs w:val="18"/>
          <w:color w:val="auto"/>
        </w:rPr>
        <w:t xml:space="preserve"> compared with administration of 3’-dA. Importantly, NUC-7738 is not a substrate for ADA and is therefore not broken down by this enzyme. This results in greater stability and increased generation of the active anti-cancer metabolite 3’-dATP following administration. NUC-7738 is highly lipophilic and is able to enter cells independently of nucleoside transporters, including hENT1. Once inside the cancer cell, NUC-7738 is presented in the phosphorylated form, 3’-dAMP, thus bypassing the first rate-limiting phosphorylation step by AK required to generate the active anti-cancer metabolite 3’-dATP. These attributes result in significantly higher levels of the active anti-cancer metabolite 3’-dATP inside cancer cells compared to 3’-dA. In preclinical studies, NUC-7738 has been shown to increase intracellular 3’-dATP levels in human cancer cell lines, supporting its intended design to overcome known limitations of 3’-dA metabolism and activation.</w:t>
      </w:r>
    </w:p>
    <w:p>
      <w:pPr>
        <w:spacing w:after="0" w:line="8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NUC-7738’s principal mechanism of action is the disruption of RNA polyadenylation, resulting in broad changes in gene expression that affect multiple cellular pathways relevant to tumor biology. These effects have been observed across a range of cancer cell lines as well as translational models including PDOs and PDO–TIL co-culture systems. The affected pathways include those associated with antigen presentation and T-cell activation, PD-L1 processing, cancer cell metabolism, and ribosomal biogenesis. In contrast, similar changes were not observed in resting peripheral blood mononuclear cells, suggesting a selective effect in malignant cells. Primarily, 3’-dATP disrupts RNA polyadenylation, profoundly impacts gene expression in cancer cells and targets multiple aspects of the TME,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199390</wp:posOffset>
            </wp:positionV>
            <wp:extent cx="4637405" cy="2802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3740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Collectively, these properties support the clinical development of NUC-7738 as a rational combination partner capable of modulating both tumor-intrinsic and tumor microenvironment pathways. While current evidence is strongest for combinations with immune checkpoint inhibitors, the broad multi-pathway impact of NUC-7738 supports evaluation across multiple therapeutic combination strategies.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NUC-7738 Preclinical Data</w:t>
      </w:r>
    </w:p>
    <w:p>
      <w:pPr>
        <w:spacing w:after="0" w:line="117" w:lineRule="exact"/>
        <w:rPr>
          <w:sz w:val="20"/>
          <w:szCs w:val="20"/>
          <w:color w:val="auto"/>
        </w:rPr>
      </w:pPr>
    </w:p>
    <w:p>
      <w:pPr>
        <w:ind w:right="18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NUC-7738 is resistant to breakdown</w:t>
      </w:r>
      <w:r>
        <w:rPr>
          <w:rFonts w:ascii="Times New Roman" w:cs="Times New Roman" w:eastAsia="Times New Roman" w:hAnsi="Times New Roman"/>
          <w:sz w:val="18"/>
          <w:szCs w:val="18"/>
          <w:color w:val="auto"/>
        </w:rPr>
        <w:t>. In our preclinical studies in human leukemia cell lines, NUC-7738, unlike 3’-dA, was resistant to breakdown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enzyme ADA, which rapidly breaks down 3’-dA into an inactive metabolite and is a major</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factor in reducing the potential clinical benefit of 3’-dA. The ability of NUC-7738 to resist breakdown by ADA results in greater stability and much higher intracellular concentrations of the active anti-cancer metabolite, 3’-dATP. In addition, NUC-7738 does not have the dosing administration challenges that have also limited the clinical utility of 3’-dA.</w:t>
      </w:r>
    </w:p>
    <w:p>
      <w:pPr>
        <w:spacing w:after="0" w:line="64" w:lineRule="exact"/>
        <w:rPr>
          <w:sz w:val="20"/>
          <w:szCs w:val="20"/>
          <w:color w:val="auto"/>
        </w:rPr>
      </w:pPr>
    </w:p>
    <w:p>
      <w:pPr>
        <w:ind w:right="8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NUC-7738 enters cancer cells independently of nucleoside transporters</w:t>
      </w:r>
      <w:r>
        <w:rPr>
          <w:rFonts w:ascii="Times New Roman" w:cs="Times New Roman" w:eastAsia="Times New Roman" w:hAnsi="Times New Roman"/>
          <w:sz w:val="18"/>
          <w:szCs w:val="18"/>
          <w:color w:val="auto"/>
        </w:rPr>
        <w:t>. In human leukemia cell lines, inhibition of nucleoside transporter activity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did not have an effect on the cytotoxicity of NUC-7738 or on its ability to generate the active anti-cancer metabolite, 3’-dATP, demonstrating that the activity of NUC-7738 is not dependent on nucleoside transporters. By contrast, the activity of 3’-dA was reduced in the presence of nucleoside transporter inhibitors, as shown by a decrease in cytotoxicity as well as in the ability to generate 3’-dATP.</w:t>
      </w:r>
    </w:p>
    <w:p>
      <w:pPr>
        <w:spacing w:after="0" w:line="68" w:lineRule="exact"/>
        <w:rPr>
          <w:sz w:val="20"/>
          <w:szCs w:val="20"/>
          <w:color w:val="auto"/>
        </w:rPr>
      </w:pPr>
    </w:p>
    <w:p>
      <w:pPr>
        <w:ind w:right="30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NUC-7738 does not require metabolism to 3’-dAMP</w:t>
      </w:r>
      <w:r>
        <w:rPr>
          <w:rFonts w:ascii="Times New Roman" w:cs="Times New Roman" w:eastAsia="Times New Roman" w:hAnsi="Times New Roman"/>
          <w:sz w:val="18"/>
          <w:szCs w:val="18"/>
          <w:color w:val="auto"/>
        </w:rPr>
        <w:t>. As NUC-7738 is presented in the phosphorylated form, 3’-dAMP, it bypasses the first rate-limiting phosphorylation step by the enzyme AK which is required for 3’-dA to generate the active anti-cancer metabolite, 3’-dATP.</w:t>
      </w:r>
    </w:p>
    <w:p>
      <w:pPr>
        <w:spacing w:after="0" w:line="47" w:lineRule="exact"/>
        <w:rPr>
          <w:sz w:val="20"/>
          <w:szCs w:val="20"/>
          <w:color w:val="auto"/>
        </w:rPr>
      </w:pPr>
    </w:p>
    <w:p>
      <w:pPr>
        <w:ind w:right="26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NUC-7738 has greater anti-cancer activity than 3’-dA</w:t>
      </w:r>
      <w:r>
        <w:rPr>
          <w:rFonts w:ascii="Times New Roman" w:cs="Times New Roman" w:eastAsia="Times New Roman" w:hAnsi="Times New Roman"/>
          <w:sz w:val="18"/>
          <w:szCs w:val="18"/>
          <w:color w:val="auto"/>
        </w:rPr>
        <w:t>. In a preclinical study, we examined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cytotoxic activity of NUC-7738 across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different human cancer cell lines, including leukemia, non-Hodgkin lymphoma, Hodgkin lymphoma, T-cell leukemia, multiple myeloma, pancreas, colon, liver and breast cancers, as compared with 3’-dA. NUC-7738 was found, in 16 of the 20 cell lines examined in this study, to be more potent than 3’-dA when comparing the concentrations of the respective compounds required to kill 50% of the cancer cells. In three leukemia cell lines, NUC-7738 was found to be more than 50-times more potent than 3’-dA.</w:t>
      </w:r>
    </w:p>
    <w:p>
      <w:pPr>
        <w:spacing w:after="0" w:line="71"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NUC-7738 affects multiple cellular pathways</w:t>
      </w:r>
      <w:r>
        <w:rPr>
          <w:rFonts w:ascii="Times New Roman" w:cs="Times New Roman" w:eastAsia="Times New Roman" w:hAnsi="Times New Roman"/>
          <w:sz w:val="18"/>
          <w:szCs w:val="18"/>
          <w:color w:val="auto"/>
        </w:rPr>
        <w:t>. A series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experiments have shown that the disruption of RNA polyadenylation by NUC-7738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affects many cellular pathways, including those associated with antigen presentation and T-cell activation, PD-L1 processing, lipid metabolism, cancer cell metabolism, and ribosomal biogenesis. These changes are induced in many different cancer cell lines where polyadenylation of RNA is frequently abnormal.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NUC-7738 Development Strategy and Ongoing Clinical Trials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developing NUC-7738 for patients with either solid or hematological malignancies based on the broad activity seen in preclinical studies.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NUC-7738: Ongoing Phase 1/2 clinical trial (NuTide:701)</w:t>
      </w:r>
    </w:p>
    <w:p>
      <w:pPr>
        <w:spacing w:after="0" w:line="121" w:lineRule="exact"/>
        <w:rPr>
          <w:sz w:val="20"/>
          <w:szCs w:val="20"/>
          <w:color w:val="auto"/>
        </w:rPr>
      </w:pPr>
    </w:p>
    <w:p>
      <w:pPr>
        <w:ind w:right="100" w:firstLine="315"/>
        <w:spacing w:after="0" w:line="258" w:lineRule="auto"/>
        <w:rPr>
          <w:sz w:val="20"/>
          <w:szCs w:val="20"/>
          <w:color w:val="auto"/>
        </w:rPr>
      </w:pPr>
      <w:r>
        <w:rPr>
          <w:rFonts w:ascii="Times New Roman" w:cs="Times New Roman" w:eastAsia="Times New Roman" w:hAnsi="Times New Roman"/>
          <w:sz w:val="18"/>
          <w:szCs w:val="18"/>
          <w:color w:val="auto"/>
        </w:rPr>
        <w:t>NUC-7738 is being evaluated in a Phase 1/2 clinical trial (NuTide:701). The Phase 1 part evaluated NUC-7738 as a monotherapy in patients with advanced solid tumors. The Phase 2 part is evaluating NUC-7738 in combination with pembrolizumab in patients with PD-1 inhibitor-resistant melanoma. This Phase 2 part consists of an initial dose-confirmation stage followed by an ongoing expansion stage, as illustrated below. The objective of the Phase 1 part of the trial was to establish the recommended dose and schedule for NUC-7738. The objective of the Phase 2 part of the trial is to evaluate efficacy and further characterize the safety profile of NUC-7738 at the recommended Phase 2 dose in combination with the PD-1 inhibitor, pembrolizumab.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265430</wp:posOffset>
            </wp:positionV>
            <wp:extent cx="5760720" cy="1903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In September 2021, at ESMO, we presented interim data from the first 29 patients treated in this trial. These interim data indicated a favorable pharmacokinetic and tolerability profile of NUC-7738. In plasma samples from patients treated with NUC-7738, a dose-proportional increase in exposure was observed. NUC-7738 was efficiently converted to the active anti-cancer metabolite, 3’-dATP, in patients white blood cells, where high levels of 3’-dATP were detected. The intracellular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20"/>
        <w:spacing w:after="0" w:line="266" w:lineRule="auto"/>
        <w:rPr>
          <w:sz w:val="20"/>
          <w:szCs w:val="20"/>
          <w:color w:val="auto"/>
        </w:rPr>
      </w:pPr>
      <w:r>
        <w:rPr>
          <w:rFonts w:ascii="Times New Roman" w:cs="Times New Roman" w:eastAsia="Times New Roman" w:hAnsi="Times New Roman"/>
          <w:sz w:val="18"/>
          <w:szCs w:val="18"/>
          <w:color w:val="auto"/>
        </w:rPr>
        <w:t>3’-dATP generated also had a prolonged half-life, with detectable levels in some patients more than 50 hours after infusion. NUC-7738 has been found to be well tolerated. Additionally, three case studies highlighted patients with encouraging tumor reductions who remained on NUC-7738 treatment for extended periods of time.</w:t>
      </w:r>
    </w:p>
    <w:p>
      <w:pPr>
        <w:spacing w:after="0" w:line="6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In September 2022, we presented additional data from the Phase 1 part of NuTide:701 at ESMO. These data showed encouraging signals of anti-tumor activity across a range of tumor types, particularly melanoma. Promising data were observed in a variety of solid tumors with numerous patients staying on treatment for extended periods, including one patient with metastatic melanoma who became eligible for complete surgical resection following nine months of treatment with NUC-7738 as all the diffuse disease had disappeared. Four case studies highlighted patients with encouraging tumor reductions who remained on NUC-7738 treatment for extended periods of time, as shown below. NUC-7738 also had a favorable safety profile with low rates of TRAEs, very few Grade 3 TRAEs and no patients experiencing Grade 4 or 5 TRAEs. The maximum tolerated dose was established at 1,350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administered on a weekly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304165</wp:posOffset>
            </wp:positionV>
            <wp:extent cx="5151755" cy="3386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51755"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April 2023, we presented data at the AACR Annual Meeting indicating that NUC-7738 reduces soluble PD-L1 and exosomal PD-L1 in melanoma cell lines and in patients’ samples from the NuTide:701 trial. Soluble and exosomal expression of PD-L1 have been implicated in resistance to PD-L1 and PD-1 inhibitors and these data indicate that NUC-7738 has the potential to act as an immune sensitizer and as an effective combination partner for PD-L1 pathway inhibitors.</w:t>
      </w:r>
    </w:p>
    <w:p>
      <w:pPr>
        <w:spacing w:after="0" w:line="7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In October 2023, we presented interim data from the Phase 2 part of the NuTide:701 trial at the AACR-NCI-EORTC International Conference on Molecular Targets and Cancer Therapeutics 2023. NUC-7738 was well tolerated both as a monotherapy and in combination with pembrolizumab. Encouraging signs of efficacy, including tumor volume reductions and prolonged time on treatment were observed in both the monotherapy and combination cohorts. In the combination cohort of melanoma patients, who had all been previously treated with anti-PD-1 based therapy, numerous patients achieved tumor volume reductions and prolonged time on treatment. One patient who was refractory to PD-1 inhibitor plus anti-CTLA-4 therapy, the combination of nivolumab plus ipilimumab, achieved a 50% reduction in tumor volume on NUC-7738 plus pembrolizumab. Seven of the eleven patients recruited remained on treatment at the time of the data cut-off for the presentation. Patient tumor biopsy data showed that, following treatment with NUC-7738 plus pembrolizumab, expression of PD-1 was reduced and CD8+ T-cells increased, indicating that NUC-7738 may have the ability to potentiate immunotherapy. This finding provides a rationale as to why NUC-7738 plus pembrolizumab may be effective in patients who have progressed on prior immunotherapy.</w:t>
      </w: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73" w:name="page74"/>
    <w:bookmarkEnd w:id="73"/>
    <w:p>
      <w:pPr>
        <w:ind w:firstLine="374"/>
        <w:spacing w:after="0" w:line="255" w:lineRule="auto"/>
        <w:rPr>
          <w:sz w:val="20"/>
          <w:szCs w:val="20"/>
          <w:color w:val="auto"/>
        </w:rPr>
      </w:pPr>
      <w:r>
        <w:rPr>
          <w:rFonts w:ascii="Times New Roman" w:cs="Times New Roman" w:eastAsia="Times New Roman" w:hAnsi="Times New Roman"/>
          <w:sz w:val="18"/>
          <w:szCs w:val="18"/>
          <w:color w:val="212529"/>
        </w:rPr>
        <w:t xml:space="preserve">In April 2024, we presented data from the NuTide:701 trial at the AACR Annual Meeting. First, NUC-7738 was found to increase polyunsaturated fatty acids within the TME, which is indicative of a shift to a less aggressive cancer type and to decrease monounsaturated fatty acids which are associated with malignant behavior and chemotherapy resistance. In addition, NUC-7738 was shown to reduce lipids associated with protection against cancer cell death and to increase lipids associated with cancer cell death. Multi-modal imaging indicated that this lipid reprogramming is a result of the alteration in enzymes associated with lipid metabolism. Second, data from cancer cell lines, confirmed using paired biopsies from patients treated with NUC-7738, demonstrated that NUC-7738 </w:t>
      </w:r>
      <w:r>
        <w:rPr>
          <w:rFonts w:ascii="Times New Roman" w:cs="Times New Roman" w:eastAsia="Times New Roman" w:hAnsi="Times New Roman"/>
          <w:sz w:val="18"/>
          <w:szCs w:val="18"/>
          <w:color w:val="000000"/>
        </w:rPr>
        <w:t>caused PolyA tail shortening and</w:t>
      </w:r>
      <w:r>
        <w:rPr>
          <w:rFonts w:ascii="Times New Roman" w:cs="Times New Roman" w:eastAsia="Times New Roman" w:hAnsi="Times New Roman"/>
          <w:sz w:val="18"/>
          <w:szCs w:val="18"/>
          <w:color w:val="212529"/>
        </w:rPr>
        <w:t xml:space="preserve"> significantly modulated the stability of RNAs that are important for translational control of protein synthesis. Furthermore, data also highlighted NUC-7738’s potential to influence the regulation of genes critical for cancer cell growth and survival.</w:t>
      </w:r>
    </w:p>
    <w:p>
      <w:pPr>
        <w:spacing w:after="0" w:line="8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212529"/>
        </w:rPr>
        <w:t xml:space="preserve">In September 2024, we presented data from the Phase 2 part of the NuTide:701 trial at ESMO on NUC-7738 in combination with pembrolizumab for patients with metastatic melanoma who were refractory to or had relapsed on prior PD-1 inhibitor-based therapy. </w:t>
      </w:r>
      <w:r>
        <w:rPr>
          <w:rFonts w:ascii="Times New Roman" w:cs="Times New Roman" w:eastAsia="Times New Roman" w:hAnsi="Times New Roman"/>
          <w:sz w:val="18"/>
          <w:szCs w:val="18"/>
          <w:color w:val="000000"/>
        </w:rPr>
        <w:t>The data showed that the combination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had a favorable safety profile and 9 of the 12 patients achieved disease control. Encouraging median PFS of over five months for patients receiving NUC-7738 plus pembrolizumab was observed, as shown below. </w:t>
      </w:r>
      <w:r>
        <w:rPr>
          <w:rFonts w:ascii="Times New Roman" w:cs="Times New Roman" w:eastAsia="Times New Roman" w:hAnsi="Times New Roman"/>
          <w:sz w:val="18"/>
          <w:szCs w:val="18"/>
          <w:color w:val="212529"/>
        </w:rPr>
        <w:t>Rechallenging a patient with PD-1 inhibitor-based therapy typically results in progression at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their first scan at 2 to 3 months.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2529"/>
        </w:rPr>
        <w:t>NUC-7738 plus pembrolizumab achieves durable PFS in patients resistant to PD-1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428625</wp:posOffset>
            </wp:positionV>
            <wp:extent cx="5760720" cy="2468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07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One of these patients, who had received two prior lines of PD-1 inhibitor-based therapy and had progressed on their latest treatment of ipilimumab plus nivolumab within two months, achieved a confirmed Partial Response with a 55% reduction in tumor volume. Another patient, who had progressed on three prior lines of PD-1 inhibitor-based therapy, achieved a Partial Response (unconfirmed) with a 32% reduction in tumor volume. Further details regarding these patients are shown below.</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34201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In June 2025, we initiated an expansion of the Phase 2 part of the NuTide:701 trial evaluating NUC-7738 in combination with pembrolizumab in patients with metastatic melanoma and expect to report final data from this expansion study in 2026. We also anticipate seeking regulatory guidance from the FDA in 2026 regarding the potential registrational pathway for NUC-7738 in melanoma.</w:t>
      </w:r>
    </w:p>
    <w:p>
      <w:pPr>
        <w:spacing w:after="0" w:line="6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 October 2025, we presented data at ESMO describing a novel model system evaluating the synergistic effects of NUC-7738 and PD-1 inhibition in primary organoids derived from patients with RCC. Using PDOs from 10 patients with RCC and autologous TILs, co-culture experiments demonstrated enhanced tumor cell killing with the combination of NUC-7738 and PD-1 inhibitors compared to PD-1 inhibition alone. These findings support the potential of NUC-7738 in combination with PD-1 inhibitors, including in tumor types that have progressed following prior anti-PD-1 therapy, through modulation of tumor-intrinsic and tumor microenvironment pathways associated with disruption of RNA polyadenylation and downstream changes in gene expression. The data presented at ESMO are consistent with the proposed mechanism of action of NUC-7738 and with observations from the ongoing Phase 2 NuTide:701 clinical trial.</w:t>
      </w:r>
    </w:p>
    <w:p>
      <w:pPr>
        <w:spacing w:after="0" w:line="8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December 2025, we presented further data from the Phase 2 part of the NuTide:701 trial at the ESMO Immuno-Oncology Congress, including one patient whose disease converted to a complete metabolic response with no detectable active disease. The presentation also included preliminary results from 9 patients enrolled in the Phase 2 expansion cohort of the NuTide:701 trial, with evidence of clinical activity and the combination continuing to be well-tolerated. We anticipate seeking regulatory guidance from the FDA in 2026 regarding the potential registrational pathway for NUC-7738 in melanoma.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NUC-3373: A Targeted Thymidylate Synthase Inhibitor</w:t>
      </w:r>
    </w:p>
    <w:p>
      <w:pPr>
        <w:spacing w:after="0" w:line="2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NUC-3373 is a targeted TS inhibitor designed to overcome key pharmacologic limitations associated with other TS inhibitors. NUC-3373 is a new chemical entity derived from the TS inhibitor and nucleoside analog 5-FU which remains one of the most widely used chemotherapeutic agents worldwide and is included on the World Health Organization’s List of Essential Medicines. NUC-3373 has been designed to enhance TS inhibition, improve tolerability, and reduce certain administration burdens associated with 5-FU and other TS inhibitors. We are currently evaluating optimal combinations and indications for potential further clinical trials of NUC-3373 and expect to announce our development plan in 2026.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The Importance of Thymidylate Synthase in Cancer</w:t>
      </w:r>
    </w:p>
    <w:p>
      <w:pPr>
        <w:spacing w:after="0" w:line="119" w:lineRule="exact"/>
        <w:rPr>
          <w:sz w:val="20"/>
          <w:szCs w:val="20"/>
          <w:color w:val="auto"/>
        </w:rPr>
      </w:pPr>
    </w:p>
    <w:p>
      <w:pPr>
        <w:jc w:val="both"/>
        <w:ind w:right="40" w:firstLine="315"/>
        <w:spacing w:after="0" w:line="290" w:lineRule="auto"/>
        <w:rPr>
          <w:sz w:val="20"/>
          <w:szCs w:val="20"/>
          <w:color w:val="auto"/>
        </w:rPr>
      </w:pPr>
      <w:r>
        <w:rPr>
          <w:rFonts w:ascii="Times New Roman" w:cs="Times New Roman" w:eastAsia="Times New Roman" w:hAnsi="Times New Roman"/>
          <w:sz w:val="17"/>
          <w:szCs w:val="17"/>
          <w:color w:val="262626"/>
        </w:rPr>
        <w:t xml:space="preserve">TS is an enzyme crucial for the </w:t>
      </w:r>
      <w:r>
        <w:rPr>
          <w:rFonts w:ascii="Times New Roman" w:cs="Times New Roman" w:eastAsia="Times New Roman" w:hAnsi="Times New Roman"/>
          <w:sz w:val="17"/>
          <w:szCs w:val="17"/>
          <w:i w:val="1"/>
          <w:iCs w:val="1"/>
          <w:color w:val="262626"/>
        </w:rPr>
        <w:t>de novo</w:t>
      </w:r>
      <w:r>
        <w:rPr>
          <w:rFonts w:ascii="Times New Roman" w:cs="Times New Roman" w:eastAsia="Times New Roman" w:hAnsi="Times New Roman"/>
          <w:sz w:val="17"/>
          <w:szCs w:val="17"/>
          <w:color w:val="262626"/>
        </w:rPr>
        <w:t xml:space="preserve"> synthesis of deoxythymidine monophosphate (dTMP) and thymidine, a nucleotide essential for DNA synthesis and repair. TS catalyzes the reductive methylation of deoxyuridine monophosphate (dUMP), to dTMP, using 5,10-methylene tetrahydrofolate (MTHF), as a cofactor. This reaction provides the only direct source of thymidine in cells and is therefore crucial for DNA replication and cellular proliferation.</w:t>
      </w:r>
    </w:p>
    <w:p>
      <w:pPr>
        <w:spacing w:after="0" w:line="157" w:lineRule="exact"/>
        <w:rPr>
          <w:sz w:val="20"/>
          <w:szCs w:val="20"/>
          <w:color w:val="auto"/>
        </w:rPr>
      </w:pPr>
    </w:p>
    <w:p>
      <w:pPr>
        <w:ind w:firstLine="315"/>
        <w:spacing w:after="0" w:line="261" w:lineRule="auto"/>
        <w:rPr>
          <w:sz w:val="20"/>
          <w:szCs w:val="20"/>
          <w:color w:val="auto"/>
        </w:rPr>
      </w:pPr>
      <w:r>
        <w:rPr>
          <w:rFonts w:ascii="Times New Roman" w:cs="Times New Roman" w:eastAsia="Times New Roman" w:hAnsi="Times New Roman"/>
          <w:sz w:val="18"/>
          <w:szCs w:val="18"/>
          <w:color w:val="262626"/>
        </w:rPr>
        <w:t>In rapidly dividing cancer cells, the demand for DNA synthesis increases substantially, necessitating elevated TS activity. Consequently, TS is often upregulated in cancer cells, making it a critical target for anti-cancer agents. Inhibiting TS can lead to thymidine depletion, DNA damage, disruption of DNA synthesis, and ultimately apoptosis or cell death. This approach is particularly effective in cancer cells due to their higher proliferation rates compared to normal cells.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62626"/>
        </w:rPr>
        <w:t>Anti-cancer agents targeting TS exploit this dependency by interfering with the enzyme's function through 2 routes:</w:t>
      </w:r>
    </w:p>
    <w:p>
      <w:pPr>
        <w:spacing w:after="0" w:line="225" w:lineRule="exact"/>
        <w:rPr>
          <w:sz w:val="20"/>
          <w:szCs w:val="20"/>
          <w:color w:val="auto"/>
        </w:rPr>
      </w:pPr>
    </w:p>
    <w:p>
      <w:pPr>
        <w:ind w:left="760" w:right="60" w:hanging="3"/>
        <w:spacing w:after="0" w:line="312" w:lineRule="auto"/>
        <w:tabs>
          <w:tab w:leader="none" w:pos="940" w:val="left"/>
        </w:tabs>
        <w:numPr>
          <w:ilvl w:val="0"/>
          <w:numId w:val="60"/>
        </w:numPr>
        <w:rPr>
          <w:rFonts w:ascii="Times New Roman" w:cs="Times New Roman" w:eastAsia="Times New Roman" w:hAnsi="Times New Roman"/>
          <w:sz w:val="17"/>
          <w:szCs w:val="17"/>
          <w:color w:val="262626"/>
        </w:rPr>
      </w:pPr>
      <w:r>
        <w:rPr>
          <w:rFonts w:ascii="Times New Roman" w:cs="Times New Roman" w:eastAsia="Times New Roman" w:hAnsi="Times New Roman"/>
          <w:sz w:val="17"/>
          <w:szCs w:val="17"/>
          <w:color w:val="262626"/>
        </w:rPr>
        <w:t>Direct Inhibition: Fluoropyrimidines, such as 5-FU and capecitabine (Xeloda®), form a ternary complex with TS and MTHF, directly inhibiting the enzyme and preventing dTMP synthesis. This halts DNA synthesis, and may lead to cell death in rapidly proliferating cancer cells.</w:t>
      </w:r>
    </w:p>
    <w:p>
      <w:pPr>
        <w:spacing w:after="0" w:line="139" w:lineRule="exact"/>
        <w:rPr>
          <w:rFonts w:ascii="Times New Roman" w:cs="Times New Roman" w:eastAsia="Times New Roman" w:hAnsi="Times New Roman"/>
          <w:sz w:val="17"/>
          <w:szCs w:val="17"/>
          <w:color w:val="262626"/>
        </w:rPr>
      </w:pPr>
    </w:p>
    <w:p>
      <w:pPr>
        <w:ind w:left="760" w:right="100" w:hanging="3"/>
        <w:spacing w:after="0" w:line="266" w:lineRule="auto"/>
        <w:tabs>
          <w:tab w:leader="none" w:pos="940" w:val="left"/>
        </w:tabs>
        <w:numPr>
          <w:ilvl w:val="0"/>
          <w:numId w:val="60"/>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262626"/>
        </w:rPr>
        <w:t>Indirect Inhibition: Antifolates, such as methotrexate (Jylamvo®), indirectly inhibit TS by depleting cellular pools of reduced folate cofactors required for TS activity. Other antifolates like pemetrexed (Alimta®) inhibit multiple folate-dependent enzymes, including TS, amplifying the disruption of nucleotide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123190</wp:posOffset>
            </wp:positionV>
            <wp:extent cx="5383530" cy="4440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8353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ind w:firstLine="495"/>
        <w:spacing w:after="0" w:line="255" w:lineRule="auto"/>
        <w:rPr>
          <w:sz w:val="20"/>
          <w:szCs w:val="20"/>
          <w:color w:val="auto"/>
        </w:rPr>
      </w:pPr>
      <w:r>
        <w:rPr>
          <w:rFonts w:ascii="Times New Roman" w:cs="Times New Roman" w:eastAsia="Times New Roman" w:hAnsi="Times New Roman"/>
          <w:sz w:val="18"/>
          <w:szCs w:val="18"/>
          <w:color w:val="auto"/>
        </w:rPr>
        <w:t>NUC-3373 is a targeted TS inhibitor and is pre-activated, enabling efficient intracellular generation of the active anti-cancer metabolite known as fluorodeoxyuridine monophosphate (FUDR-MP). This anti-cancer metabolite is also generated by drugs, such as 5-FU, capecitabine, and floxuridine, although at much lower levels. NUC-3373 is able to generate high intracellular levels of FUDR-MP and cause greater inhibition of the target enzyme TS because it enters cancer cells independently of membrane transporters, by-passes complex enzymatic conversion, and overcomes potential cancer resistance mechanisms. In addition to TS inhibition, the high levels of FUDR-MP that are generated by NUC-3373 can be misincorporated into the cancer cells DNA causing replicative stress, DNA damage and apoptosis. Furthermore, NUC-3373 causes release of damage associated molecular patterns (DAMPs) from cancer cells, which can potentiate an anti-cancer immune response,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268605</wp:posOffset>
            </wp:positionV>
            <wp:extent cx="5760720" cy="36601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5-FU and its Limitations</w:t>
      </w:r>
    </w:p>
    <w:p>
      <w:pPr>
        <w:spacing w:after="0" w:line="229" w:lineRule="exact"/>
        <w:rPr>
          <w:sz w:val="20"/>
          <w:szCs w:val="20"/>
          <w:color w:val="auto"/>
        </w:rPr>
      </w:pPr>
    </w:p>
    <w:p>
      <w:pPr>
        <w:ind w:right="980" w:firstLine="495"/>
        <w:spacing w:after="0" w:line="282" w:lineRule="auto"/>
        <w:rPr>
          <w:sz w:val="20"/>
          <w:szCs w:val="20"/>
          <w:color w:val="auto"/>
        </w:rPr>
      </w:pPr>
      <w:r>
        <w:rPr>
          <w:rFonts w:ascii="Times New Roman" w:cs="Times New Roman" w:eastAsia="Times New Roman" w:hAnsi="Times New Roman"/>
          <w:sz w:val="18"/>
          <w:szCs w:val="18"/>
          <w:color w:val="auto"/>
        </w:rPr>
        <w:t>First introduced in 1957, 5-FU remains a cornerstone of treatment for patients with many types of cancers, including all gastrointestinal malignancies (including colorectal, gastric, pancreatic and small bowel), breast and head and neck cancers.</w:t>
      </w:r>
    </w:p>
    <w:p>
      <w:pPr>
        <w:spacing w:after="0" w:line="162" w:lineRule="exact"/>
        <w:rPr>
          <w:sz w:val="20"/>
          <w:szCs w:val="20"/>
          <w:color w:val="auto"/>
        </w:rPr>
      </w:pPr>
    </w:p>
    <w:p>
      <w:pPr>
        <w:ind w:right="500" w:firstLine="495"/>
        <w:spacing w:after="0" w:line="275" w:lineRule="auto"/>
        <w:rPr>
          <w:sz w:val="20"/>
          <w:szCs w:val="20"/>
          <w:color w:val="auto"/>
        </w:rPr>
      </w:pPr>
      <w:r>
        <w:rPr>
          <w:rFonts w:ascii="Times New Roman" w:cs="Times New Roman" w:eastAsia="Times New Roman" w:hAnsi="Times New Roman"/>
          <w:sz w:val="18"/>
          <w:szCs w:val="18"/>
          <w:color w:val="auto"/>
        </w:rPr>
        <w:t xml:space="preserve">Four other drugs have been approved that aim to generate the same active anti-cancer metabolite as 5-FU: fluorodeoxyuridine, or Floxuridine, marketed as FUDR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capecitabine, marketed as Xeloda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UFT, marketed as Uftoral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S-1, marketed as Teysuno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ind w:firstLine="495"/>
        <w:spacing w:after="0" w:line="261" w:lineRule="auto"/>
        <w:rPr>
          <w:sz w:val="20"/>
          <w:szCs w:val="20"/>
          <w:color w:val="auto"/>
        </w:rPr>
      </w:pPr>
      <w:r>
        <w:rPr>
          <w:rFonts w:ascii="Times New Roman" w:cs="Times New Roman" w:eastAsia="Times New Roman" w:hAnsi="Times New Roman"/>
          <w:sz w:val="18"/>
          <w:szCs w:val="18"/>
          <w:color w:val="auto"/>
        </w:rPr>
        <w:t xml:space="preserve">The anti-cancer activity of 5-FU and its other forms, FUDR, capecitabine, UFT, and S-1 is largely attributed to the phosphorylated active anti-cancer metabolite, FUDR-MP, which binds to and inhibits the intracellular enzyme, TS. TS, a critical enzyme in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nucleotide synthesis and cell survival, is required to convert uridine, specifically dUMP to thymidine, specifically dTMP, one of the four nucleotides that comprise DNA. The inhibition of TS therefore results in an imbalance in the ratio of the nucleotides dUMP and dTMP, disrupting DNA synthesis and repair, which leads to cancer cell death.</w:t>
      </w:r>
    </w:p>
    <w:p>
      <w:pPr>
        <w:spacing w:after="0" w:line="180" w:lineRule="exact"/>
        <w:rPr>
          <w:sz w:val="20"/>
          <w:szCs w:val="20"/>
          <w:color w:val="auto"/>
        </w:rPr>
      </w:pPr>
    </w:p>
    <w:p>
      <w:pPr>
        <w:ind w:right="660" w:firstLine="495"/>
        <w:spacing w:after="0" w:line="282" w:lineRule="auto"/>
        <w:rPr>
          <w:sz w:val="20"/>
          <w:szCs w:val="20"/>
          <w:color w:val="auto"/>
        </w:rPr>
      </w:pPr>
      <w:r>
        <w:rPr>
          <w:rFonts w:ascii="Times New Roman" w:cs="Times New Roman" w:eastAsia="Times New Roman" w:hAnsi="Times New Roman"/>
          <w:sz w:val="18"/>
          <w:szCs w:val="18"/>
          <w:color w:val="auto"/>
        </w:rPr>
        <w:t>Several key limitations have been associated with a poor prognosis to a 5-FU therapeutic regimen. We believe NUC-3373, overcomes these limitations, as well as the dosing administration challenges, associated with 5-FU.</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20" w:firstLine="323"/>
        <w:spacing w:after="0" w:line="256" w:lineRule="auto"/>
        <w:tabs>
          <w:tab w:leader="none" w:pos="495"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Subject to breakdown. </w:t>
      </w:r>
      <w:r>
        <w:rPr>
          <w:rFonts w:ascii="Times New Roman" w:cs="Times New Roman" w:eastAsia="Times New Roman" w:hAnsi="Times New Roman"/>
          <w:sz w:val="18"/>
          <w:szCs w:val="18"/>
          <w:color w:val="auto"/>
        </w:rPr>
        <w:t>Approximately 85% of 5-FU is degraded by dihydropyrimidine dehydrogenase (DPD), an enzyme largely expressed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liver. This breakdown destroys most of the pro-drug before it has an opportunity to enter the cancer cell, become activated and exert any therapeutic effect. Furthermore, this breakdown results in the generation of a toxic byproduct, FBAL, which has been associated with off-target toxicity, including “hand-foot syndrome,” which is reported in various sources as affecting 25% to 75% of patients treated with fluoropyrimidines. Hand-foot syndrome is a debilitating side effect characterized by reddening, swelling, numbness and skin sloughing or peeling on the palms of the hands and soles of the feet and commonly leads to dose reductions or discontinuation of therapy for patients receiving 5-FU. In addition, high levels of DPD have also been found to be elevated in tumors that are resistant to 5-FU.</w:t>
      </w:r>
    </w:p>
    <w:p>
      <w:pPr>
        <w:spacing w:after="0" w:line="182" w:lineRule="exact"/>
        <w:rPr>
          <w:rFonts w:ascii="Times New Roman" w:cs="Times New Roman" w:eastAsia="Times New Roman" w:hAnsi="Times New Roman"/>
          <w:sz w:val="18"/>
          <w:szCs w:val="18"/>
          <w:b w:val="1"/>
          <w:bCs w:val="1"/>
          <w:i w:val="1"/>
          <w:iCs w:val="1"/>
          <w:color w:val="auto"/>
        </w:rPr>
      </w:pPr>
    </w:p>
    <w:p>
      <w:pPr>
        <w:ind w:right="40" w:firstLine="323"/>
        <w:spacing w:after="0" w:line="268" w:lineRule="auto"/>
        <w:tabs>
          <w:tab w:leader="none" w:pos="495"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Requires active transport. </w:t>
      </w:r>
      <w:r>
        <w:rPr>
          <w:rFonts w:ascii="Times New Roman" w:cs="Times New Roman" w:eastAsia="Times New Roman" w:hAnsi="Times New Roman"/>
          <w:sz w:val="18"/>
          <w:szCs w:val="18"/>
          <w:color w:val="auto"/>
        </w:rPr>
        <w:t>5-FU relies on specific transporters in order to cross the cellular membrane. If these transporters are not present or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expressed at low levels, 5-FU’s ability to enter the cancer cell will be limited. For example, low expression of the nucleoside transporter, hENT1, has been associated with cancer cell resistance to 5-FU.</w:t>
      </w:r>
    </w:p>
    <w:p>
      <w:pPr>
        <w:spacing w:after="0" w:line="170" w:lineRule="exact"/>
        <w:rPr>
          <w:rFonts w:ascii="Times New Roman" w:cs="Times New Roman" w:eastAsia="Times New Roman" w:hAnsi="Times New Roman"/>
          <w:sz w:val="18"/>
          <w:szCs w:val="18"/>
          <w:b w:val="1"/>
          <w:bCs w:val="1"/>
          <w:i w:val="1"/>
          <w:iCs w:val="1"/>
          <w:color w:val="auto"/>
        </w:rPr>
      </w:pPr>
    </w:p>
    <w:p>
      <w:pPr>
        <w:ind w:right="20" w:firstLine="323"/>
        <w:spacing w:after="0" w:line="256" w:lineRule="auto"/>
        <w:tabs>
          <w:tab w:leader="none" w:pos="495"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Inefficient metabolic activation pathways. </w:t>
      </w:r>
      <w:r>
        <w:rPr>
          <w:rFonts w:ascii="Times New Roman" w:cs="Times New Roman" w:eastAsia="Times New Roman" w:hAnsi="Times New Roman"/>
          <w:sz w:val="18"/>
          <w:szCs w:val="18"/>
          <w:color w:val="auto"/>
        </w:rPr>
        <w:t>Once 5-FU enters cells, it must be processed by a series of enzymes to generate the active anti-cancer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metabolite, FUDR-MP. FUDR-MP binds to and inhibits TS, leading to increased levels of uridine and decreased levels of thymidine which result in cancer cell death. There are several key enzymes involved in the conversion of 5-FU to FUDR-MP. One of these is orotate phosphoribosyl transferase (OPRT). Another intracellular enzyme, thymidine phosphorylase (TP) can reversibly convert 5-FU to fluorodeoxyuridine (FUDR), an intermediate to the formation of FUDR-MP. In addition, thymidine kinase (TK), is the enzyme that converts FUDR to the active anti-cancer metabolite, FUDR-MP. Low expression of OPRT, TP or TK in human cancer cells is associated with resistance to 5-FU. 5-FU’s metabolic pathway also results in the generation of the metabolite FUTP, which, while this causes cancer cell death, it is also associated with dose limiting toxicities such as neutropenia, mucositis and diarrhea.</w:t>
      </w:r>
    </w:p>
    <w:p>
      <w:pPr>
        <w:spacing w:after="0" w:line="182" w:lineRule="exact"/>
        <w:rPr>
          <w:rFonts w:ascii="Times New Roman" w:cs="Times New Roman" w:eastAsia="Times New Roman" w:hAnsi="Times New Roman"/>
          <w:sz w:val="18"/>
          <w:szCs w:val="18"/>
          <w:b w:val="1"/>
          <w:bCs w:val="1"/>
          <w:i w:val="1"/>
          <w:iCs w:val="1"/>
          <w:color w:val="auto"/>
        </w:rPr>
      </w:pPr>
    </w:p>
    <w:p>
      <w:pPr>
        <w:ind w:right="120" w:firstLine="323"/>
        <w:spacing w:after="0" w:line="257" w:lineRule="auto"/>
        <w:tabs>
          <w:tab w:leader="none" w:pos="495"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Poor pharmacokinetic profile. </w:t>
      </w:r>
      <w:r>
        <w:rPr>
          <w:rFonts w:ascii="Times New Roman" w:cs="Times New Roman" w:eastAsia="Times New Roman" w:hAnsi="Times New Roman"/>
          <w:sz w:val="18"/>
          <w:szCs w:val="18"/>
          <w:color w:val="auto"/>
        </w:rPr>
        <w:t>The pharmacokinetic properties of 5-FU also lead to dosing administration challenges. 5-FU has a short half-life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8 and 14 minutes in plasma. In an effort to counter the short time period that cells are exposed to 5-FU, healthcare providers often administer 5-FU as a continuous infusion over extended periods of time. For example, patients being treated for colorectal cancer typically receive 5-FU through a continuous infusion over 46 hours using a portable pump. This dosing requirement creates burdens for providers, inconveniences patients and contributes additional costs to the healthcare system. Furthermore, 5-FU’s pharmacokinetic profile is unpredictable and patients with certain characteristics can experience dangerously high levels of 5-FU, which can be fatal, or ineffective levels of 5-FU.</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NUC-3373</w:t>
      </w:r>
    </w:p>
    <w:p>
      <w:pPr>
        <w:spacing w:after="0" w:line="229"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NUC-3373 is a protected form of the active anti-cancer metabolite, FUDR-MP, specifically designed to overcome the key shortcomings that limit the clinical utility of the fluoropyrimidines. NUC-3373 is a nucleotide analog that releases the same active anti-cancer metabolite, FUDR-MP, that 5-FU aims to generate within a cancer cell, but at significantly higher intracellular concentrations. NUC-3373 has been evaluated in a Phase 1 clinical trial, NuTide:301, in patients with advanced solid tumors; a Phase 1b/2 clinical trial, NuTide:302, in combination with other agents, for patients with metastatic colorectal cancer; and a randomized Phase 2 clinical trial, NuTide:323, in combination with other agents, for the second-line treatment of patients with advanced colorectal cancer. NUC-3373, is currently being evaluated in a Phase 1b/2 modular clinical trial, NuTide:303, of NUC-3373 in combination with the PD-1 inhibitor pembrolizumab for patients with advanced solid tumors and in combination with docetaxel for patients with lung cancer.</w:t>
      </w:r>
    </w:p>
    <w:p>
      <w:pPr>
        <w:spacing w:after="0" w:line="18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Unlike 5-FU, NUC-3373 consists of the active anti-cancer metabolite, FUDR-MP, and a protective phosphoramidate moiety. This moiety protects FUDR-MP making it resistant to breakdown by the enzyme DPD, which reduces the generation of toxic byproducts such as FBAL. It also confers a more predictable pharmacokinetic profile including a longer half-life, estimated at between 6 to 14 hours in plasma, and a better distribution into tissues. These properties allow NUC-3373 to be administered through a short infusion of approximately 2 hours. The chemical structure of the ProTide alters the lipophilicity of the molecule, allowing NUC-3373 to enter cancer cells without the need for membrane transporters. Once inside the cancer cell, the phosphoramidate moiety is cleaved off, resulting in deprotection and the release of FUDR-MP. This bypasses the need for any activating enzymes, resulting in significantly higher levels of the active TS inhibitor molecule, which we believe will lead to improved efficacy as a TS inhibitor compared to 5-FU. Furthermore, the metabolic pathways utilized by NUC-3373 avoid the generation of the dose-limiting toxic metabolite FUTP so toxicities such as neutropenia, mucositis and diarrhea should be significantly reduced.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left="500"/>
        <w:spacing w:after="0"/>
        <w:rPr>
          <w:sz w:val="20"/>
          <w:szCs w:val="20"/>
          <w:color w:val="auto"/>
        </w:rPr>
      </w:pPr>
      <w:r>
        <w:rPr>
          <w:rFonts w:ascii="Times New Roman" w:cs="Times New Roman" w:eastAsia="Times New Roman" w:hAnsi="Times New Roman"/>
          <w:sz w:val="18"/>
          <w:szCs w:val="18"/>
          <w:color w:val="auto"/>
        </w:rPr>
        <w:t>The metabolism of NUC-3373 compared to 5-FU as described above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360045</wp:posOffset>
            </wp:positionV>
            <wp:extent cx="5263515" cy="384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63515"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NUC-3373 Preclinical Data</w:t>
      </w:r>
    </w:p>
    <w:p>
      <w:pPr>
        <w:spacing w:after="0" w:line="225" w:lineRule="exact"/>
        <w:rPr>
          <w:sz w:val="20"/>
          <w:szCs w:val="20"/>
          <w:color w:val="auto"/>
        </w:rPr>
      </w:pPr>
    </w:p>
    <w:p>
      <w:pPr>
        <w:ind w:firstLine="49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NUC-3373 has greater anti-cancer activity than 5-FU</w:t>
      </w:r>
      <w:r>
        <w:rPr>
          <w:rFonts w:ascii="Times New Roman" w:cs="Times New Roman" w:eastAsia="Times New Roman" w:hAnsi="Times New Roman"/>
          <w:sz w:val="18"/>
          <w:szCs w:val="18"/>
          <w:color w:val="auto"/>
        </w:rPr>
        <w:t>. In preclinical studies, NUC-3373 was not reliant on activating enzymes, including OPRT,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 and TK, all of which are essential for activating 5-FU. In addition, we measured the anti-cancer activity of NUC-3373 and 5-FU across a range of human tumor cell lines, including colorectal, ovarian and lung cancers. NUC-3373 had up to 330 times greater activity than 5-FU. The following figure shows the levels of NUC-3373 or 5-FU required, in various tumor cell lines, to kill half of the cancer cells, with the shorter bars representing more potent activity.</w:t>
      </w:r>
    </w:p>
    <w:p>
      <w:pPr>
        <w:spacing w:after="0" w:line="1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1210945</wp:posOffset>
            </wp:positionH>
            <wp:positionV relativeFrom="page">
              <wp:posOffset>843280</wp:posOffset>
            </wp:positionV>
            <wp:extent cx="5126355" cy="25374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12635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40" w:firstLine="495"/>
        <w:spacing w:after="0" w:line="261" w:lineRule="auto"/>
        <w:rPr>
          <w:sz w:val="20"/>
          <w:szCs w:val="20"/>
          <w:color w:val="auto"/>
        </w:rPr>
      </w:pPr>
      <w:r>
        <w:rPr>
          <w:rFonts w:ascii="Times New Roman" w:cs="Times New Roman" w:eastAsia="Times New Roman" w:hAnsi="Times New Roman"/>
          <w:sz w:val="18"/>
          <w:szCs w:val="18"/>
          <w:color w:val="auto"/>
        </w:rPr>
        <w:t>Preclinical studies in human colorectal cancer cells showed that NUC-3373 generated intracellular levels of the active anti-cancer metabolite, FUDR-MP, 366 times higher than those achieved by administering equivalent amounts of 5-FU. We believe that these increased intracellular levels of FUDR-MP could translate into the ability of NUC-3373 to kill various cancer cells at much lower equimolar doses than those of 5-FU. Moreover, in a preclinical colorectal cancer xenograft study, NUC-3373 showed a greater ability to reduce tumor weight and volume than 5-FU.</w:t>
      </w:r>
    </w:p>
    <w:p>
      <w:pPr>
        <w:spacing w:after="0" w:line="176" w:lineRule="exact"/>
        <w:rPr>
          <w:sz w:val="20"/>
          <w:szCs w:val="20"/>
          <w:color w:val="auto"/>
        </w:rPr>
      </w:pPr>
    </w:p>
    <w:p>
      <w:pPr>
        <w:ind w:firstLine="495"/>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NUC-3373 has multiple potential anti-cancer mechanisms of action</w:t>
      </w:r>
      <w:r>
        <w:rPr>
          <w:rFonts w:ascii="Times New Roman" w:cs="Times New Roman" w:eastAsia="Times New Roman" w:hAnsi="Times New Roman"/>
          <w:sz w:val="18"/>
          <w:szCs w:val="18"/>
          <w:color w:val="auto"/>
        </w:rPr>
        <w:t>. Experiments in human colorectal cancer cell lines have shown that NUC-3373 may kill cancer cells through several different mechanisms. In cells, the enzyme TS is required to convert dUMP to thymidine, which generates dTMP. Thymidine is one of the nucleosies that comprises DNA. The inhibition of TS therefore results in an imbalance in the ratio of the nucleotides dUMP and dTMP, disrupting DNA synthesis and repair, which leads to cancer cell death. Patients with cancer can have different levels of the enzyme TS in their tumor cells, and this is thought to affect how well drugs such as 5-FU work. However, in our experiments we found that the level of TS in different colorectal cancer cells did not predict the ability of NUC-3373 to kill the cancer cells. This suggests that NUC-3373 may have anti-cancer activity against tumors even when their TS levels are high. In another experiment, adding thymidine to the cancer cells reduced the ability of NUC-3373 to cause cell death. This confirms that NUC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3373 causes cancer cell death by inhibiting TS and reducing thymidine levels. In addition, when cancer cells were treated with NUC-3373, more of them had TS in the cytoplasm of the cell compared to untreated cells, which mostly had TS in the nucleus of the cell. We believe that by keeping TS in the cell cytoplasm and preventing it from moving to the nucleus, NUC-3373 causes a further imbalance in the levels of dUMP and dTMP.</w:t>
      </w:r>
    </w:p>
    <w:p>
      <w:pPr>
        <w:spacing w:after="0" w:line="205" w:lineRule="exact"/>
        <w:rPr>
          <w:sz w:val="20"/>
          <w:szCs w:val="20"/>
          <w:color w:val="auto"/>
        </w:rPr>
      </w:pPr>
    </w:p>
    <w:p>
      <w:pPr>
        <w:ind w:right="80" w:firstLine="495"/>
        <w:spacing w:after="0" w:line="218" w:lineRule="exact"/>
        <w:rPr>
          <w:sz w:val="20"/>
          <w:szCs w:val="20"/>
          <w:color w:val="auto"/>
        </w:rPr>
      </w:pPr>
      <w:r>
        <w:rPr>
          <w:rFonts w:ascii="Times New Roman" w:cs="Times New Roman" w:eastAsia="Times New Roman" w:hAnsi="Times New Roman"/>
          <w:sz w:val="18"/>
          <w:szCs w:val="18"/>
          <w:color w:val="auto"/>
        </w:rPr>
        <w:t>In another set of experiments, the activity and metabolism of NUC-3373 was directly compared to that of 5-FU in colorectal cancer cell lines. The active anti-cancer metabolite, FUDR-MP, inhibits thymidine synthesis through binding to and forming a ternary complex with TS. This causes an imbalance in the cellular nucleotide pools by preventing the conversion of dUMP to dTMP and leads to disruption of DNA synthesis and repair. In these experiments, NUC-3373 was shown to cause greater TS complex formation than 5-FU, even at lower drug concentrations. This suggests that NUC-3373 may be a more potent inhibitor of TS than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 Furthermore, when anti-cancer metabolite generation was assessed in these cell lines it was found that NUC-3373 generated significantly higher levels of FUDR-MP compared to 5-FU and had a more pronounced effect on the dUMP levels, suggesting a greater impact on nucleotide pools. NUC-3373’s ability to generate high intracellular levels of FUDR-MP resulted in the generation of the triphosphate form of the anti-cancer metabolite (FUDR-TP) (also referred to as FdUTP), which was shown to be incorporated into the DNA of cancer cells. This effect was not observed with 5-FU. These results suggest that NUC-3373 may be not only a more potent TS inhibitor, but also a more efficient DNA- damaging agent compared to 5-FU. Finally, while 5-FU treatment led to the production of the toxic metabolite FUTP in these cells, FUTP was not detectable following treatment of these cells with NUC-3373.</w:t>
      </w:r>
    </w:p>
    <w:p>
      <w:pPr>
        <w:spacing w:after="0" w:line="201" w:lineRule="exact"/>
        <w:rPr>
          <w:sz w:val="20"/>
          <w:szCs w:val="20"/>
          <w:color w:val="auto"/>
        </w:rPr>
      </w:pPr>
    </w:p>
    <w:p>
      <w:pPr>
        <w:ind w:right="40" w:firstLine="495"/>
        <w:spacing w:after="0" w:line="258" w:lineRule="auto"/>
        <w:rPr>
          <w:sz w:val="20"/>
          <w:szCs w:val="20"/>
          <w:color w:val="auto"/>
        </w:rPr>
      </w:pPr>
      <w:r>
        <w:rPr>
          <w:rFonts w:ascii="Times New Roman" w:cs="Times New Roman" w:eastAsia="Times New Roman" w:hAnsi="Times New Roman"/>
          <w:sz w:val="18"/>
          <w:szCs w:val="18"/>
          <w:color w:val="auto"/>
        </w:rPr>
        <w:t>A further set of experiments showed that NUC-3373 also causes a prolonged type of cell stress, called endoplasmic reticulum (ER) stress in cancer cells. This leads to the release of molecules called DAMPs from the cancer cells as they die, potentially leading to immunogenic cell death (ICD). This process of ICD is characterized by the cell surface exposure or extracellular release of calreticulin (CRT) and high-mobility-group box 1 protein (HMGB1) from dying cells, as depicted in the diagram below. These DAMPs help the immune system to recognize cancer cells in the body, thus promoting the further killing of cancer cells by immune cells.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ind w:right="380" w:firstLine="495"/>
        <w:spacing w:after="0" w:line="282" w:lineRule="auto"/>
        <w:rPr>
          <w:sz w:val="20"/>
          <w:szCs w:val="20"/>
          <w:color w:val="auto"/>
        </w:rPr>
      </w:pPr>
      <w:r>
        <w:rPr>
          <w:rFonts w:ascii="Times New Roman" w:cs="Times New Roman" w:eastAsia="Times New Roman" w:hAnsi="Times New Roman"/>
          <w:sz w:val="18"/>
          <w:szCs w:val="18"/>
          <w:color w:val="auto"/>
        </w:rPr>
        <w:t>These experiments have shown that NUC-3373 is not only a targeted TS inhibitor but also induces DNA damage and can potentiate an immune response, as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251460</wp:posOffset>
            </wp:positionV>
            <wp:extent cx="5760720" cy="1851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firstLine="495"/>
        <w:spacing w:after="0" w:line="261" w:lineRule="auto"/>
        <w:rPr>
          <w:sz w:val="20"/>
          <w:szCs w:val="20"/>
          <w:color w:val="auto"/>
        </w:rPr>
      </w:pPr>
      <w:r>
        <w:rPr>
          <w:rFonts w:ascii="Times New Roman" w:cs="Times New Roman" w:eastAsia="Times New Roman" w:hAnsi="Times New Roman"/>
          <w:sz w:val="18"/>
          <w:szCs w:val="18"/>
          <w:color w:val="auto"/>
        </w:rPr>
        <w:t>Overall, these nonclinical studies suggest that NUC-3373 potentially has the ability to enhance the activity of immunotherapy agents by making tumors more visible to the immune system. This was demonstrated in a series of experiments in which cancer cells treated with NUC-3373 were exposed to immune cells in combination with the immunotherapy agent nivolumab, a PD-L1 inhibitor. These experiments showed that the combination of NUC-3373 and nivolumab resulted in greater cancer cell death than either agent alone, indicating that NUC-3373 enhances the activity of immunotherapy.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NUC-3373 Clinical Data</w:t>
      </w:r>
    </w:p>
    <w:p>
      <w:pPr>
        <w:spacing w:after="0" w:line="22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NUC-3373 has been evaluated in a Phase 1 clinical trial for patients with advanced solid tumors; a Phase 1b/2 clinical trial, in combination with other agents, for patients with metastatic colorectal cancer; a randomized Phase 2 clinical trial of NUC-3373, in combination with other agents, for the second-line treatment of patients with advanced colorectal cancer; and a Phase 1b/2 modular clinical trial of NUC-3373 in combination with the PD-1 inhibitor pembrolizumab for patients with advanced solid tumors and NUC-3373 in combination with docetaxel in patients with lung cancer.</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currently evaluating optimal combinations and indications for potential further clinical trials of NUC-3373.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NUC-3373: Completed Phase 1 clinical trial (NuTide:301)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NUC-3373 has demonstrated a favorable safety and pharmacokinetic profile with promising clinical activity in a Phase 1 clinical trial, also known as the NuTide:301 trial, in patients with advanced solid tumors who had exhausted all treatment options. In this trial, the maximum tolerated dose and schedule was established as 2,500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weekly. In addition, we measured various pharmacokinetic and pharmacodynamic parameters, including plasma concentration of NUC-3373, intracellular concentrations of the active anti-cancer metabolite, FUDR-MP, the ability of NUC-3373 to bind to its target enzyme, TS, and the downstream effects on the levels of dTMP. The anti-cancer mechanism of action of NUC-3373 has been previously observed in preclinical studies, which NuCana believes further supports the biological advantages of NUC-3373 over 5-FU.</w:t>
      </w:r>
    </w:p>
    <w:p>
      <w:pPr>
        <w:spacing w:after="0" w:line="205" w:lineRule="exact"/>
        <w:rPr>
          <w:sz w:val="20"/>
          <w:szCs w:val="20"/>
          <w:color w:val="auto"/>
        </w:rPr>
      </w:pPr>
    </w:p>
    <w:p>
      <w:pPr>
        <w:ind w:right="80" w:firstLine="315"/>
        <w:spacing w:after="0" w:line="237" w:lineRule="auto"/>
        <w:rPr>
          <w:sz w:val="20"/>
          <w:szCs w:val="20"/>
          <w:color w:val="auto"/>
        </w:rPr>
      </w:pPr>
      <w:r>
        <w:rPr>
          <w:rFonts w:ascii="Times New Roman" w:cs="Times New Roman" w:eastAsia="Times New Roman" w:hAnsi="Times New Roman"/>
          <w:sz w:val="18"/>
          <w:szCs w:val="18"/>
          <w:color w:val="auto"/>
        </w:rPr>
        <w:t>In September 2021, at ESMO, we presented PK data from patients treated with NUC-3373 at doses ranging from 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3,250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The PK profile of NUC-3373 was linear with a dose proportional increase and was reproducible. NUC-3373 also had a long plasma half-life of 6 to 14 hours compared with the half-life of 8 to 14 minutes for 5-FU. Intracellular levels of the active anti-cancer metabolite, FUDR-MP, also increased in a dose proportional manner and were substantially higher than those reported in the literature for 5-FU.</w:t>
      </w:r>
    </w:p>
    <w:p>
      <w:pPr>
        <w:spacing w:after="0" w:line="201" w:lineRule="exact"/>
        <w:rPr>
          <w:sz w:val="20"/>
          <w:szCs w:val="20"/>
          <w:color w:val="auto"/>
        </w:rPr>
      </w:pPr>
    </w:p>
    <w:p>
      <w:pPr>
        <w:ind w:firstLine="374"/>
        <w:spacing w:after="0" w:line="217" w:lineRule="auto"/>
        <w:rPr>
          <w:sz w:val="20"/>
          <w:szCs w:val="20"/>
          <w:color w:val="auto"/>
        </w:rPr>
      </w:pPr>
      <w:r>
        <w:rPr>
          <w:rFonts w:ascii="Times New Roman" w:cs="Times New Roman" w:eastAsia="Times New Roman" w:hAnsi="Times New Roman"/>
          <w:sz w:val="18"/>
          <w:szCs w:val="18"/>
          <w:color w:val="auto"/>
        </w:rPr>
        <w:t>Overall, 59 patients with advanced cancer, who had exhausted all other available treatment options, were enrolled in the trial. This heavily pre-treated patient population, who had received an average of 3 prior lines of chemotherapy, had a variety of primary tumor types. Forty-three patients received NUC-3373 on a weekly schedule on days one, eight, 15 and 22 of a 28-day cycle at doses ranging from 125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to 3,250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16 patients received NUC-3373 on an alternate-week, or fortnightly, schedule on days one and 15 of a 28-day cycle at doses ranging from 1,500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2,500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Evidence of</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1" w:name="page82"/>
    <w:bookmarkEnd w:id="81"/>
    <w:p>
      <w:pPr>
        <w:ind w:right="20"/>
        <w:spacing w:after="0" w:line="256" w:lineRule="auto"/>
        <w:rPr>
          <w:sz w:val="20"/>
          <w:szCs w:val="20"/>
          <w:color w:val="auto"/>
        </w:rPr>
      </w:pPr>
      <w:r>
        <w:rPr>
          <w:rFonts w:ascii="Times New Roman" w:cs="Times New Roman" w:eastAsia="Times New Roman" w:hAnsi="Times New Roman"/>
          <w:sz w:val="18"/>
          <w:szCs w:val="18"/>
          <w:color w:val="auto"/>
        </w:rPr>
        <w:t>durable anti-cancer activity was noted, with at least 10 patients remaining on treatment for more than four months and three of these patients achieving prolonged stable disease with PFS lasting more than nine months. Both dosing schedules were observed to be well tolerated with no unexpected adverse events or cumulative toxicity. Importantly, only one patient developed hand-foot syndrome (Grade 1). However, this patient had received prior treatment with fluoropyrimidines immediately before entering the NuTide:301 trial and had experienced hand-foot syndrome on these prior treatments, strongly supporting the likelihood that it was related to prior toxicities and not to NUC-3373 treatment. NUC-3373’s plasma half-life of 6 to 14 hours enables it to be infused over a much shorter time frame of 30 minutes to four hours compared to the 46-hour continuous infusion required with 5-FU.</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NUC-3373: Completed Phase 1b/2 clinical trial (NuTide:302)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315"/>
        <w:spacing w:after="0" w:line="219" w:lineRule="exact"/>
        <w:rPr>
          <w:sz w:val="20"/>
          <w:szCs w:val="20"/>
          <w:color w:val="auto"/>
        </w:rPr>
      </w:pPr>
      <w:r>
        <w:rPr>
          <w:rFonts w:ascii="Times New Roman" w:cs="Times New Roman" w:eastAsia="Times New Roman" w:hAnsi="Times New Roman"/>
          <w:sz w:val="18"/>
          <w:szCs w:val="18"/>
          <w:color w:val="auto"/>
        </w:rPr>
        <w:t>A Phase 1b/2 trial, also known as the NuTide:302 trial, in patients with metastatic colorectal cancer in which NUC-3373 was combined with agents typically combined with 5-FU to treat patients with colorectal cancer, including leucovorin, irinotecan, oxaliplatin and bevacizumab was completed in 2024. This three-part dose escalation and expansion trial was designed to determine a recommended combination dose and schedule for NUC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3373, as illustrated in the trial schema below. In Part 1, the safety and tolerability of NUC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3373 when co-administered with leucovorin was assessed. Part 1 established that leucovorin has no impact on the pharmacokinetic or safety profile of NUC-3373. Part 2 assessed increasing doses of NUC-3373 plus leucovorin given in combination with either oxaliplatin (NUFOX) or irinotecan (NUFIRI). The objective of this part of the trial was to establish doses to be further examined in NUFOX and NUFIRI regimens in Part 3 of the Phase 1b/2 trial. Part 3 of the Phase 1b/2 trial evaluated the combinations of NUFOX and NUFIRI with bevacizumab for second-line colorectal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274955</wp:posOffset>
            </wp:positionV>
            <wp:extent cx="5692140" cy="3300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214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18"/>
          <w:szCs w:val="18"/>
          <w:color w:val="auto"/>
        </w:rPr>
        <w:t>In April 2021, at the AACR Annual Meeting, we reported interim data from 38 heavily pre-treated patients (median of 4 prior lines of therapy) who had received NUC-3373 with or without leucovorin in Part 1 of the NuTide:302 trial. NUC-3373 was shown to have a favorable safety profile with no hand-foot syndrome observed, which is associated with the toxic metabolite, FBAL, and no neutropenia, or Grade 3 or 4 mucositis or diarrhea adverse events, which are associated with the toxic metabolite, FUTP. Efficacy signals have been observed, with several patients achieving longer periods of PFS than those achieved on previous regimens (as illustrated in the graph below). Tumor shrinkages have also been observed, including in a patient who was refractory to all prior fluoropyrimidine-containing regimens.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33864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In September 2022, at ESMO, we reported data from 46 heavily pre-treated patients with metastatic colorectal cancer who had received NUC-3373 in combination with leucovorin and either irinotecan (NUFIRI) or oxaliplatin (NUFOX) in Part 2 of the NuTide:302 trial. These data indicated favorable safety profiles for both NUFIRI and NUFOX regimens when compared to historical data for the 5-FU containing regimens FOLFIRI and FOLFOX, with lower rates of toxicities such as neutropenia and gastrointestinal disturbances. Of the 46 patients who received either NUFIRI or NUFOX, 12 (6 from each cohort) achieved PFS of greater than 3 months, including 3 patients who achieved a PFS of 6 months or longer. The disease control rates for the NUFIRI and NIFOX regimens were 55% and 80% respectively. The recommended Phase 2 dose for NUC-3373 as part of NUFIRI and NUFOX regimens has been established.</w:t>
      </w:r>
    </w:p>
    <w:p>
      <w:pPr>
        <w:spacing w:after="0" w:line="18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In October 2023, at the AACR-NCI-EORTC International Conference on Molecular Targets and Cancer Therapeutics 2023, we reported data from 14 patients with metastatic colorectal cancer who had received NUFIRI or NUFOX in combination with bevacizumab in Part 3 of the Phase 1b/2 NuTide:302 trial. NUC-3373 demonstrated a favorable safety profile when combined with irinotecan, leucovorin, and bevacizumab (NUFIRI + bev) and with oxaliplatin, leucovorin, and bevacizumab (NUFOX + bev). Additionally, as shown below, both regimens demonstrated encouraging signs of efficacy, including tumor volume reductions in patients who were refractory to or had progressed on prior fluoropyrimidine treatment.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3463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Several patients achieved a longer PFS on NUFIRI + bev and NUFOX + bev as compared to the PFS achieved in their first-line treatment with 5-FU-based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0720" cy="2905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072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NUC-3373: Discontinued Phase 2 clinical trial (NuTide:323)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In 2022, we initiated a randomized Phase 2 clinical trial of NUC-3373 in combination with NUFIRI + bev versus FOLFIRI + bev for the second-line treatment of patients with advanced colorectal cancer who have progressed on first-line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FOLFOX. This trial included two NUC-3373 treatment arms to evaluate a weekly and a fortnightly, or alternate week, administration schedule.</w:t>
      </w:r>
    </w:p>
    <w:p>
      <w:pPr>
        <w:spacing w:after="0" w:line="117" w:lineRule="exact"/>
        <w:rPr>
          <w:sz w:val="20"/>
          <w:szCs w:val="20"/>
          <w:color w:val="auto"/>
        </w:rPr>
      </w:pPr>
    </w:p>
    <w:p>
      <w:pPr>
        <w:ind w:right="100" w:firstLine="374"/>
        <w:spacing w:after="0" w:line="312" w:lineRule="auto"/>
        <w:rPr>
          <w:sz w:val="20"/>
          <w:szCs w:val="20"/>
          <w:color w:val="auto"/>
        </w:rPr>
      </w:pPr>
      <w:r>
        <w:rPr>
          <w:rFonts w:ascii="Times New Roman" w:cs="Times New Roman" w:eastAsia="Times New Roman" w:hAnsi="Times New Roman"/>
          <w:sz w:val="17"/>
          <w:szCs w:val="17"/>
          <w:color w:val="auto"/>
        </w:rPr>
        <w:t>In October 2023, we presented data from the NuTide:323 trial at the AACR-NCI-EORTC International Conference on Molecular Targets and Cancer Therapeutics 2023. The trial recruited well, and no new safety signals were observed from the aggregated safety data from the first 40 patients enrolled.</w:t>
      </w:r>
    </w:p>
    <w:p>
      <w:pPr>
        <w:spacing w:after="0" w:line="3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212529"/>
        </w:rPr>
        <w:t>In August 2024, we announced that we were discontinuing our NuTide:323 trial following a pre-planned initial analysis and recommendation from the NuTide:323 study Steering Committee. While there were prognostic imbalances favoring the control arm, the Steering Committee believed that NUFIRI + bev was unlikely to achieve the study’s primary objective of superior PFS compared to the control arm of FOLFIRI + bev in the final analysis. In all three arms, the treatment regimens were observed to have a favorable safety profile and to be generally well-tolerated, with only 12 of the 175 patients (four patients in each arm) discontinuing treatment due to adverse events.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NUC-3373: Completed Phase 1b/2 clinical trial (NuTide:303)</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7"/>
          <w:szCs w:val="17"/>
          <w:color w:val="auto"/>
        </w:rPr>
        <w:t>In October 2022, we presented data at the 34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EORTC-NCI-AACR Annual Meeting which showed that NUC-3373 causes lung cancer cells to release DAMPs. These molecular signals can activate immune cells leading to ICD. NUC-3373 also enhanced the cell surface expression of the transmembrane protein PD-L1 in lung cancer cell lines, highlighting a potential role for NUC-3373 to enhance immunotherapy efficacy. The addition of pembrolizumab, an anti-PD-1 antibody, to NUC-3373 in a co-culture system where lung cancer cells were incubated alongside human-derived immune cells also enhanced ICD, highlighting a potential role for NUC-3373 as an attractive combination partner for immune checkpoint inhibitors in patients with lung cancer.</w:t>
      </w:r>
    </w:p>
    <w:p>
      <w:pPr>
        <w:spacing w:after="0" w:line="78" w:lineRule="exact"/>
        <w:rPr>
          <w:sz w:val="20"/>
          <w:szCs w:val="20"/>
          <w:color w:val="auto"/>
        </w:rPr>
      </w:pPr>
    </w:p>
    <w:p>
      <w:pPr>
        <w:ind w:right="40" w:firstLine="374"/>
        <w:spacing w:after="0" w:line="219" w:lineRule="exact"/>
        <w:rPr>
          <w:sz w:val="20"/>
          <w:szCs w:val="20"/>
          <w:color w:val="auto"/>
        </w:rPr>
      </w:pPr>
      <w:r>
        <w:rPr>
          <w:rFonts w:ascii="Times New Roman" w:cs="Times New Roman" w:eastAsia="Times New Roman" w:hAnsi="Times New Roman"/>
          <w:sz w:val="18"/>
          <w:szCs w:val="18"/>
          <w:color w:val="auto"/>
        </w:rPr>
        <w:t>In 2022, we initiated a Phase 1b/2 trial to identify additional indications and treatment combinations for further development. This was a modular, multi-arm, parallel-cohort dose-finding and expansion trial of NUC-3373 in combination with other agents for the treatment of patients with different types of advanced solid tumors. Each module of this trial consisted of a dose-validation phase (Phase 1) and a dose-expansion phase (Phase 2). Phase 1 determined the appropriate combination dose for further clinical evaluation in Phase 2 of each module. Approximately 4 to 12 evaluable patients were enrolled in the Phase 1 stage of each module to determine safety, preliminary efficacy and maximum tolerated dose for NUC-3373 in combination with other agents. Each module could then move into Phase 2 to enable a further assessment of safety and efficacy. Two modules were opened: NUC-3373 in combination with pembrolizumab, a PD-1 inhibitor, for the treatment of patients with solid tumors (Module 1); and NUC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3373 in combination with docetaxel for patients with lung cancer (Module 2).</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1502410</wp:posOffset>
            </wp:positionH>
            <wp:positionV relativeFrom="page">
              <wp:posOffset>706120</wp:posOffset>
            </wp:positionV>
            <wp:extent cx="4551680" cy="3575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4551680" cy="357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In November 2024, we published data from the NuTide:303 trial in MedRxiv. Module 1 included 12 patients with a variety of solid tumors who had exhausted all other treatment options. The majority of patients, 75%, had received prior PD-1 inhibitor-based therapy. The combination of NUC-3373 plus pembrolizumab was generally well tolerated. Encouraging signals of anti-cancer activity were observed with confirmed Partial Responses in 2 patients and Stable Disease in a further 4 patients, resulting in an objective response rate of 22% and a disease control rate of 67% in the efficacy evaluable population. Two patient case studies were highlighted from Module 1. A patient with urothelial bladder cancer who had previously received gemcitabine plus cisplatin followed by the PD-L1 inhibitor atezolizumab achieved a partial response and remained on therapy for 23 months. Following treatment with NUC-3373 plus pembrolizumab, the patient achieved 100% reduction in the target lesion, considered a confirmed partial response due to the presence of non-target lesions, and has remained on treatment for over 10 months. The second case study was a patient with BRAF mutant metastatic cutaneous melanoma who had previously received pembrolizumab with a best response of progressive disease within 5 months. This was followed by dabrafenib plus trametinib where trametinib was discontinued after 1 month due to toxicity and achieved stable disease before progressing after 7 years on dabrafenib. Following treatment with NUC-3373 plus pembrolizumab, this patient achieved a confirmed Partial Response with an 81% reduction in the target lesion and remains on treatment for over 12 months.</w:t>
      </w:r>
    </w:p>
    <w:p>
      <w:pPr>
        <w:spacing w:after="0" w:line="8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Module 2 included 4 patients with non-small cell lung cancer (NSCLC) or pleural mesothelioma who had disease progression on, or were unable to tolerate, prior chemotherapy-containing regimens. Docetaxel is the current standard of care for NSCLC patients without targetable alterations who progress on PD-1 inhibitor-based therapy, however, it is associated with modest clinical benefit with a median PFS of 3-4 months and substantial toxicity. Following treatment of the first 4 patients in this module, enrollment was put on hold due to toxicity challenges with docetaxel. Despite this, 2 patients achieved prolonged Stable Disease. Two patient case studies were highlighted from Module 2. A patient with pleural mesothelioma who had previously received carboplatin plus pemetrexed and had progressed within 4 months, the PD-1 inhibitor nivolumab and had progressed within 4 months, and carboplatin plus pemetrexed and had progressed within 1 month. Following treatment with NUC-3373 plus docetaxel, the patient achieved ongoing stable disease for 13 months at the data cut-off. A second case study was a patient with squamous NSCLC who had previously received carboplatin plus paclitaxel plus pembrolizumab and achieved stable disease for 2 months, followed by maintenance pembrolizumab and progressed within 21 months. Following treatment with NUC-3373 plus docetaxel, the patient achieved stable disease for 7 months.</w:t>
      </w:r>
    </w:p>
    <w:p>
      <w:pPr>
        <w:spacing w:after="0" w:line="86"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In 2025, we closed the NuTide:303 study as part of a strategic prioritization of resources. We are currently evaluating optimal combinations and indications for potential further clinical trials of NUC-3373.</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Acelarin: A Transformation of Gemcitabine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Acelarin was designed to overcome the key cancer resistance mechanisms associated with the nucleoside analog gemcitabine.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Gemcitabine and its Limitations</w:t>
      </w:r>
    </w:p>
    <w:p>
      <w:pPr>
        <w:spacing w:after="0" w:line="121"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Gemcitabine is a nucleoside analog that is used as a chemotherapeutic to treat a wide range of tumors. There are key limitations that have been associated with a poor survival prognosis for gemcitabine therapy:</w:t>
      </w:r>
    </w:p>
    <w:p>
      <w:pPr>
        <w:spacing w:after="0" w:line="50" w:lineRule="exact"/>
        <w:rPr>
          <w:sz w:val="20"/>
          <w:szCs w:val="20"/>
          <w:color w:val="auto"/>
        </w:rPr>
      </w:pPr>
    </w:p>
    <w:p>
      <w:pPr>
        <w:ind w:right="700" w:firstLine="382"/>
        <w:spacing w:after="0" w:line="286" w:lineRule="auto"/>
        <w:tabs>
          <w:tab w:leader="none" w:pos="599"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Subject to breakdown. </w:t>
      </w:r>
      <w:r>
        <w:rPr>
          <w:rFonts w:ascii="Times New Roman" w:cs="Times New Roman" w:eastAsia="Times New Roman" w:hAnsi="Times New Roman"/>
          <w:sz w:val="18"/>
          <w:szCs w:val="18"/>
          <w:color w:val="auto"/>
        </w:rPr>
        <w:t>Gemcitabine, prior to being phosphorylated to its active form, is susceptible to being broken down chemically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metabolic enzymes, such as cytidine deaminase (CDA), which irreversibly degrades up to 90% of gemcitabine to an inactive form.</w:t>
      </w:r>
    </w:p>
    <w:p>
      <w:pPr>
        <w:spacing w:after="0" w:line="46" w:lineRule="exact"/>
        <w:rPr>
          <w:rFonts w:ascii="Times New Roman" w:cs="Times New Roman" w:eastAsia="Times New Roman" w:hAnsi="Times New Roman"/>
          <w:sz w:val="18"/>
          <w:szCs w:val="18"/>
          <w:b w:val="1"/>
          <w:bCs w:val="1"/>
          <w:i w:val="1"/>
          <w:iCs w:val="1"/>
          <w:color w:val="auto"/>
        </w:rPr>
      </w:pPr>
    </w:p>
    <w:p>
      <w:pPr>
        <w:ind w:right="60" w:firstLine="382"/>
        <w:spacing w:after="0" w:line="286" w:lineRule="auto"/>
        <w:tabs>
          <w:tab w:leader="none" w:pos="599"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Requires active transport. </w:t>
      </w:r>
      <w:r>
        <w:rPr>
          <w:rFonts w:ascii="Times New Roman" w:cs="Times New Roman" w:eastAsia="Times New Roman" w:hAnsi="Times New Roman"/>
          <w:sz w:val="18"/>
          <w:szCs w:val="18"/>
          <w:color w:val="auto"/>
        </w:rPr>
        <w:t>Gemcitabine requires the membrane transporter hENT1 to enter cancer cells. Patients with a low level of hENT1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gemcitabine have lower overall survival as compared to patients with a high level of hENT1.</w:t>
      </w:r>
    </w:p>
    <w:p>
      <w:pPr>
        <w:spacing w:after="0" w:line="46" w:lineRule="exact"/>
        <w:rPr>
          <w:rFonts w:ascii="Times New Roman" w:cs="Times New Roman" w:eastAsia="Times New Roman" w:hAnsi="Times New Roman"/>
          <w:sz w:val="18"/>
          <w:szCs w:val="18"/>
          <w:b w:val="1"/>
          <w:bCs w:val="1"/>
          <w:i w:val="1"/>
          <w:iCs w:val="1"/>
          <w:color w:val="auto"/>
        </w:rPr>
      </w:pPr>
    </w:p>
    <w:p>
      <w:pPr>
        <w:ind w:right="120" w:firstLine="382"/>
        <w:spacing w:after="0" w:line="259" w:lineRule="auto"/>
        <w:tabs>
          <w:tab w:leader="none" w:pos="599"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Requires activation within the cancer cell. </w:t>
      </w:r>
      <w:r>
        <w:rPr>
          <w:rFonts w:ascii="Times New Roman" w:cs="Times New Roman" w:eastAsia="Times New Roman" w:hAnsi="Times New Roman"/>
          <w:sz w:val="18"/>
          <w:szCs w:val="18"/>
          <w:color w:val="auto"/>
        </w:rPr>
        <w:t>Once gemcitabine enters cells, it must be activated by the addition of phosphate groups before it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exert its cell-killing effect. The rate-limiting addition of the first phosphate group is rapidly followed by the addition of a second and third phosphate group. The end result of this phosphorylation is the creation of the active anti-cancer metabolite, which is known as dFdCTP. A specific enzyme, deoxycytidine kinase (dCK) is responsible for the first rate-limiting phosphorylation step. Initially, about one-third of cancer cells have reduced levels of dCK, which has negative consequences for the efficacy of gemcitabine.</w:t>
      </w:r>
    </w:p>
    <w:p>
      <w:pPr>
        <w:spacing w:after="0" w:line="7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Because gemcitabine has a short half-life ranging from 42 to 94 minutes, even with dCK present in the cancer cell, much of the gemcitabine will have broken down before it can be converted to its active anti-cancer metabolite, dFdCTP.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Acelarin</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Acelarin was designed to overcome the key limitations associated with gemcitabine by generating and maintaining higher concentrations of the active anti-cancer metabolite inside the tumor compared to gemcitabine. Acelarin is comprised of a pre-phosphorylated form of gemcitabine, dFdCMP and a protective phosphoramidate moiety. This moiety protects Acelarin from breakdown by CDA and enables Acelarin to enter cancer cells independent of the presence of the hENT1 transporter. Once Acelarin has entered the cell, the protective groups are cleaved off, releasing dFdCMP, meaning that cancer cell deficiency of the activating enzyme, dCK, does not result in resistance to Acelarin, as it does with gemcitabine. This activated nucleotide analog, dFdCMP, is then rapidly converted to dFdCDP and then the key anti-cancer metabolite, dFdCTP.</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metabolism of Acelarin compared to gemcitabine as described above is illustrated in the following graphic.</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706120</wp:posOffset>
            </wp:positionV>
            <wp:extent cx="5323205" cy="38830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32320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Data</w:t>
      </w:r>
    </w:p>
    <w:p>
      <w:pPr>
        <w:spacing w:after="0" w:line="121"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Acelarin has been evaluated in multiple clinical trials: a Phase 1 dose-ranging clinical trial of Acelarin monotherapy for patients with advanced solid tumors; a Phase 1b dose-ranging clinical trial of Acelarin in combination with carboplatin for patients with recurrent ovarian cancer; a Phase 1b clinical trial of Acelarin in combination with cisplatin for patients with biliary tract cancer; a Phase 2 clinical trial of Acelarin monotherapy for patients with platinum-resistant ovarian cancer; a Phase 3 trial of Acelarin monotherapy for patients with pancreatic cancer who are unable to receive combination chemotherapy; and a Phase 3 trial of Acelarin in combination with cisplatin for previously untreated patients with biliary tract cancer.</w:t>
      </w:r>
    </w:p>
    <w:p>
      <w:pPr>
        <w:spacing w:after="0" w:line="75"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majority of patients in the clinical trials had very poor prognoses and yet a high proportion obtained significant tumor regression or stable disease when treated with Acelarin. Despite the heavily pre-treated nature of the patient populations in the early phase clinical trials, Acelarin has been well tolerated and showed anti-cancer activity in patients who were resistant to, or had progressed on, prior gemcitabine treatment.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 Completed Phase 1 clinical trial (PRO-001)</w:t>
      </w:r>
    </w:p>
    <w:p>
      <w:pPr>
        <w:spacing w:after="0" w:line="121"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18"/>
          <w:szCs w:val="18"/>
          <w:color w:val="auto"/>
        </w:rPr>
        <w:t xml:space="preserve">In the Phase 1 trial, 68 patients with advanced solid tumors and metastatic disease who had exhausted all other standard treatment options received Acelarin as monotherapy at doses ranging from 375 mg/m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1,000 mg/m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All of these patients had rapidly progressing recurrent disease and had received on average 2.7 prior lines of chemotherapy. In a subset of 49 patients who received two or more cycles of Acelarin, equivalent to two or more months of therapy, and had at least one follow-up radiographic assessment to measure changes in tumor size. Five patients achieved a partial response, although not all of these five patients received a final confirmatory scan as technically required by the RECIST criteria for classification as a partial response. Another 33 patients were scored as having stable disease. This resulted in an overall disease control rate of 78% in the total 49-patient evaluable population.</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 Completed Phase 1b clinical trial in combination with carboplatin (PRO-002)</w:t>
      </w:r>
    </w:p>
    <w:p>
      <w:pPr>
        <w:spacing w:after="0" w:line="128" w:lineRule="exact"/>
        <w:rPr>
          <w:sz w:val="20"/>
          <w:szCs w:val="20"/>
          <w:color w:val="auto"/>
        </w:rPr>
      </w:pPr>
    </w:p>
    <w:p>
      <w:pPr>
        <w:ind w:right="40" w:firstLine="374"/>
        <w:spacing w:after="0" w:line="243" w:lineRule="auto"/>
        <w:rPr>
          <w:sz w:val="20"/>
          <w:szCs w:val="20"/>
          <w:color w:val="auto"/>
        </w:rPr>
      </w:pPr>
      <w:r>
        <w:rPr>
          <w:rFonts w:ascii="Times New Roman" w:cs="Times New Roman" w:eastAsia="Times New Roman" w:hAnsi="Times New Roman"/>
          <w:sz w:val="18"/>
          <w:szCs w:val="18"/>
          <w:color w:val="auto"/>
        </w:rPr>
        <w:t>In the Phase 1b trial, 25 patients with recurrent ovarian cancer received Acelarin at doses from 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750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combination with carboplatin for a maximum of six treatment cycles lasting three weeks each. Patients had received on average four prior lines of chemotherapy. Of the 25 patients enrolled, 23 were evaluable and these patients were characterized by their platinum status: seven were platinum-refractory, 10 were platinum-resistant, three were partially platinum-sensitive and three were platinum-sensitive. The 23 evaluable patients had received one or more cycles of Acelarin in combination with carboplatin and had at least one follow-up radiographic assessment. Of the evaluable patients, one achieved a confirmed complete response and eight achieved a partial response (four confirmed). This resulted in an overall response rate of 39% (22% confirmed). Another 13 patients were scored as having stable disease. This resulted in a disease control rate of 96%. The median PFS duration was 6.2 months.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 Completed Phase 2 clinical trial (PRO-105)</w:t>
      </w:r>
    </w:p>
    <w:p>
      <w:pPr>
        <w:spacing w:after="0" w:line="128"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8"/>
          <w:szCs w:val="18"/>
          <w:color w:val="auto"/>
        </w:rPr>
        <w:t>Acelarin was evaluated in a Phase 2 clinical trial in patients with platinum-resistant ovarian cancer. Part I of the trial compared a 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dose of Acelarin with a 750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dose of Acelarin in heavily pre-treated patients. Part II of the trial was designed to then investigate the optimal dose identified in part I in an expansion cohort. In December 2019, consistent with our previous announcement that we were prioritizing our resources on our key programs, we decided not to proceed with part II of the PRO-105 trial. In part I of the trial, fifty patients were evaluable and all responders had confirmatory scans. The patient population included in Part I was heavily pre-treated, with a median of 5 prior lines of therapy, and 72% had underlying comorbidities. Despite this, NUC-1031 was well-tolerated. Based on an assessment by blinded independent central review, anti-cancer activity was observed with one patient achieving a complete response, two patients achieving a partial response and 16 patients achieving stable disease as their best response. Across both treatment arms, 11 patients had reductions of at least 10% in the size of their tumors.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 Completed Phase 1b clinical trial in combination with cisplatin (ABC-08)</w:t>
      </w:r>
    </w:p>
    <w:p>
      <w:pPr>
        <w:spacing w:after="0" w:line="119" w:lineRule="exact"/>
        <w:rPr>
          <w:sz w:val="20"/>
          <w:szCs w:val="20"/>
          <w:color w:val="auto"/>
        </w:rPr>
      </w:pPr>
    </w:p>
    <w:p>
      <w:pPr>
        <w:ind w:firstLine="374"/>
        <w:spacing w:after="0" w:line="245" w:lineRule="auto"/>
        <w:rPr>
          <w:sz w:val="20"/>
          <w:szCs w:val="20"/>
          <w:color w:val="auto"/>
        </w:rPr>
      </w:pPr>
      <w:r>
        <w:rPr>
          <w:rFonts w:ascii="Times New Roman" w:cs="Times New Roman" w:eastAsia="Times New Roman" w:hAnsi="Times New Roman"/>
          <w:sz w:val="18"/>
          <w:szCs w:val="18"/>
          <w:color w:val="auto"/>
        </w:rPr>
        <w:t xml:space="preserve">In November 2020, the final results from the ABC-08 trial were published in </w:t>
      </w:r>
      <w:r>
        <w:rPr>
          <w:rFonts w:ascii="Times New Roman" w:cs="Times New Roman" w:eastAsia="Times New Roman" w:hAnsi="Times New Roman"/>
          <w:sz w:val="18"/>
          <w:szCs w:val="18"/>
          <w:i w:val="1"/>
          <w:iCs w:val="1"/>
          <w:color w:val="auto"/>
        </w:rPr>
        <w:t>The Oncologist</w:t>
      </w:r>
      <w:r>
        <w:rPr>
          <w:rFonts w:ascii="Times New Roman" w:cs="Times New Roman" w:eastAsia="Times New Roman" w:hAnsi="Times New Roman"/>
          <w:sz w:val="18"/>
          <w:szCs w:val="18"/>
          <w:color w:val="auto"/>
        </w:rPr>
        <w:t>. In this Phase 1b multi-center, open-label trial, Acelarin, when combined with cisplatin, achieved a high response rate and was well-tolerated as first-line treatment for patients with advanced biliary tract cancer. Twenty-one patients received Acelarin (625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or 725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cisplatin (25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on days one and eight of 21-day cycles. Of the 21 patients in the intent-to-treat (ITT) population, 16 patients with measurable disease received at least one cycle of study treatment and had at least one follow-up radiographic scan and were thus efficacy evaluable. In the efficacy-evaluable population, an ORR (based on unconfirmed responses) of 44% was achieved (1 complete response and 6 partial responses). In addition, 6 patients had stable disease, resulting in a disease control rate of 81%. Responses were seen across all five biliary tract cancer sub-types.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 Discontinued Phase 3 clinical trial (ACELARATE)</w:t>
      </w:r>
    </w:p>
    <w:p>
      <w:pPr>
        <w:spacing w:after="0" w:line="121" w:lineRule="exact"/>
        <w:rPr>
          <w:sz w:val="20"/>
          <w:szCs w:val="20"/>
          <w:color w:val="auto"/>
        </w:rPr>
      </w:pPr>
    </w:p>
    <w:p>
      <w:pPr>
        <w:ind w:right="180" w:firstLine="374"/>
        <w:spacing w:after="0" w:line="239" w:lineRule="auto"/>
        <w:rPr>
          <w:sz w:val="20"/>
          <w:szCs w:val="20"/>
          <w:color w:val="auto"/>
        </w:rPr>
      </w:pPr>
      <w:r>
        <w:rPr>
          <w:rFonts w:ascii="Times New Roman" w:cs="Times New Roman" w:eastAsia="Times New Roman" w:hAnsi="Times New Roman"/>
          <w:sz w:val="18"/>
          <w:szCs w:val="18"/>
          <w:color w:val="auto"/>
        </w:rPr>
        <w:t>ACELARATE was a Phase 3, open-label, randomized trial, facilitated by the National Cancer Research Institute in the United Kingdom, and was designed to compare Acelarin to gemcitabine as first-line therapy in patients with metastatic pancreatic carcinoma who were not eligible for combination chemotherapy. Acelarin (825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gemcitabine (1,000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were administered on days one, eight, and 15 of 28-day cycles. A total of 200 patients were enrolled, with 100 patients receiving Acelarin.</w:t>
      </w:r>
    </w:p>
    <w:p>
      <w:pPr>
        <w:spacing w:after="0" w:line="92"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This trial included a prespecified futility analysis, which indicated that the primary efficacy objective of Acelarin monotherapy reducing the risk of death by at least 42% compared to gemcitabine was unlikely to be met in this difficult-to-treat patient population. The trial was closed in June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 Discontinued Phase 3 clinical trial (NuTide:121)</w:t>
      </w:r>
    </w:p>
    <w:p>
      <w:pPr>
        <w:spacing w:after="0" w:line="121"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A Phase 3 clinical trial, also known as the NuTide:121 trial, comparing Acelarin in combination with cisplatin to gemcitabine in combination with cisplatin as a first-line treatment for patients with locally advanced or metastatic biliary tract cancer was closed in March 2022 following the first pre-planned interim analysis.</w:t>
      </w:r>
    </w:p>
    <w:p>
      <w:pPr>
        <w:spacing w:after="0" w:line="68" w:lineRule="exact"/>
        <w:rPr>
          <w:sz w:val="20"/>
          <w:szCs w:val="20"/>
          <w:color w:val="auto"/>
        </w:rPr>
      </w:pPr>
    </w:p>
    <w:p>
      <w:pPr>
        <w:ind w:right="260" w:firstLine="374"/>
        <w:spacing w:after="0" w:line="225" w:lineRule="auto"/>
        <w:rPr>
          <w:sz w:val="20"/>
          <w:szCs w:val="20"/>
          <w:color w:val="auto"/>
        </w:rPr>
      </w:pPr>
      <w:r>
        <w:rPr>
          <w:rFonts w:ascii="Times New Roman" w:cs="Times New Roman" w:eastAsia="Times New Roman" w:hAnsi="Times New Roman"/>
          <w:sz w:val="18"/>
          <w:szCs w:val="18"/>
          <w:color w:val="auto"/>
        </w:rPr>
        <w:t>NuTide:121 was a global, multi-center, randomized Phase 3 trial in approximately 125 sites across North America, Europe, Asia and Australia. Patients were randomized 1:1 and treated with either a combination of Acelarin (725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plus cisplatin (25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or the current standard of care regimen, gemcitabine (1,000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plus cisplatin (25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The dual primary endpoints of the trial were overall survival (OS) and overall response rate (ORR).</w:t>
      </w:r>
    </w:p>
    <w:p>
      <w:pPr>
        <w:spacing w:after="0" w:line="9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Three interim efficacy analyses were planned in addition to the final analysis. The first interim analysis was performed by the Independent Data Monitoring Committee after 418 patients with measurable disease at baseline had been randomized and followed for 28 weeks. This analysis evaluated the ORR primary endpoint and also included a pre-planned futility analysis.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9" w:name="page90"/>
    <w:bookmarkEnd w:id="89"/>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Following the first interim analysis, we made the decision to discontinue the NuTide:121 trial in March 2022 based on the recommendations of the trial’s Independent Data Monitoring Committee. Analysis of the study dataset demonstrated that the ORR, as assessed by Blinded Independent Central Review, was 18.7% (3 Complete Responses and 50 Partial Responses) in the Acelarin plus cisplatin arm and 12.4% (0 Complete Responses and 34 Partial Responses) in the gemcitabine plus cisplatin arm. However, this improvement in ORR was not reflected by an improvement in OS. Median OS was 9.2 months in the Acelarin plus cisplatin arm and 12.6 months in the gemcitabine plus cisplatin arm corresponding to a hazard ratio of 1.79. Treatment exposure was lower in the Acelarin plus cisplatin arm, which may be at least partially explained by a higher discontinuation rate due to treatment emergent adverse events (TEAEs) in the Acelarin plus cisplatin arm (30% vs 16%). More patients discontinued during the first 30 days of treatment in the Acelarin plus cisplatin arm (11% vs 1%) and this was predominantly due to liver-related TEAEs. An evaluation of the liver-related TEAEs observed in this trial suggested that the assessment of drug-induced liver toxicity is potentially confounded by disease progression and the corresponding high frequency of liver dysfunction in patients with advanced biliary tract cancer which are difficult to distinguish from the pattern of drug related liver toxicity. We believe that the pattern of liver-related TEAEs observed in NuTide:121 is specific to biliary tract cancer and potentially the combination with cisplatin. The pattern of liver-related TEAEs observed in NuTide:121 was not observed in trials that assessed Acelarin as a monotherapy (PRO-001, PRO-105 and ACELARATE) or in combination with carboplatin (PRO-002).</w:t>
      </w:r>
    </w:p>
    <w:p>
      <w:pPr>
        <w:spacing w:after="0" w:line="7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Overall, the Acelarin safety profile was generally similar to that of gemcitabine. The lower treatment exposure in the Acelarin plus cisplatin arm due to adverse event related early discontinuations may partially explain why the increased ORR did not translate into a survival benefit. We are assessing future development options for Acelarin in biliary tract cancer which may explore lower doses of Acelarin, alternative combination partners or specific sub-sets of biliary tract cancer patients. Indications other than biliary tract cancer are also being assessed as future development options for Acelarin.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Molecular Profiling</w:t>
      </w:r>
    </w:p>
    <w:p>
      <w:pPr>
        <w:spacing w:after="0" w:line="121"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Healthcare professionals often use molecular-profiling tools to help choose the optimal therapy for patients with cancer. Therapeutic responses vary among patients because cancers are heterogeneous, even for tumors arising from the same site in the body. Molecular diagnostics assays that detect specific biomarkers can provide a framework to classify tumors according to their molecular signature. In turn, the cancer profile can guide the choice of therapy for a particular patient.</w:t>
      </w:r>
    </w:p>
    <w:p>
      <w:pPr>
        <w:spacing w:after="0" w:line="7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As part of our clinical development strategy, we are investigating the molecular profile of cancer cells with the aim of identifying patients who may receive the greatest benefit from our ProTides compared with the current nucleoside analog standards of care. We are working to identify and quantify key biomarkers relevant to NUC-7738 and NUC-3373, as well as to assess their predictive nature with regard to treatment. In addition, such assays may become relevant to our eventual commercial and reimbursement strategy by helping to pre-identify those patients for whom existing nucleoside analogs are unlikely to provide a significant benefit.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contract manufacturing organizations (CMOs) for the supply of clinical trial materials of NUC-7738 and NUC-3373, and any future product candidates under the cGMP specified by the FDA and other regulatory organizations. cGMP is a regulatory standard for the production of pharmaceuticals to be used in humans. In the future, we intend to also rely on our CMOs to produce sufficient commercial quantities of our ProTides, if approved. We source key materials from third parties, either directly from suppliers or indirectly through our CMOs. These raw materials are generally available from multiple vendors, which provides us with a robust and cost-effective supply chain.</w:t>
      </w:r>
    </w:p>
    <w:p>
      <w:pPr>
        <w:spacing w:after="0" w:line="75"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Manufacturing of any product candidate is subject to extensive regulations that impose various procedural and documentation requirements governing recordkeeping, manufacturing processes and controls, personnel, quality control and quality assurance, among others. We expect that all of our CMOs will manufacture NUC-7738 and NUC-3373 under cGMP conditions and in compliance with any similar regulatory requirements outside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therapies is highly competitive. While we believe that our scientific knowledge, proprietary ProTide technology and development experience provide us with competitive advantages, we face potential competition from many different sources, including major pharmaceutical, biotechnology and specialty pharmaceutical companies, academic institutions, governmental agencies and public and private research institutions. Any ProTide candidates that we successfully develop and commercialize will compete with existing products and new products that may become available in the future. Key product features that would affect our ability to effectively compete with other therapeutics include efficacy, safety profile, price, convenience of administration and level of promotional activity.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most common methods of treating patients with cancer are surgery, radiation and drug therapy, including chemotherapy, hormone therapy, immunotherapy and targeted drug therapy. There are a variety of available drug therapies marketed for cancer, including many which are administered in combination to enhance efficacy. We believe that our product candidates, if approved, will principally face competition from other chemotherapies, immunotherapy and targeted drug therapies. In the field of chemotherapy, our competitors include companies that manufacture off-patent chemotherapies, including 5-FU, as well as companies that have developed new or improved chemotherapies.</w:t>
      </w:r>
    </w:p>
    <w:p>
      <w:pPr>
        <w:spacing w:after="0" w:line="75" w:lineRule="exact"/>
        <w:rPr>
          <w:sz w:val="20"/>
          <w:szCs w:val="20"/>
          <w:color w:val="auto"/>
        </w:rPr>
      </w:pPr>
    </w:p>
    <w:p>
      <w:pPr>
        <w:jc w:val="both"/>
        <w:ind w:right="200" w:firstLine="374"/>
        <w:spacing w:after="0" w:line="312" w:lineRule="auto"/>
        <w:rPr>
          <w:sz w:val="20"/>
          <w:szCs w:val="20"/>
          <w:color w:val="auto"/>
        </w:rPr>
      </w:pPr>
      <w:r>
        <w:rPr>
          <w:rFonts w:ascii="Times New Roman" w:cs="Times New Roman" w:eastAsia="Times New Roman" w:hAnsi="Times New Roman"/>
          <w:sz w:val="17"/>
          <w:szCs w:val="17"/>
          <w:color w:val="auto"/>
        </w:rPr>
        <w:t>In addition, our product candidates, if approved, may face competition from cancer therapies developed by other companies using phosphoramidate chemistry, as well as other approved drugs or drugs that may be approved in the future for indications for which we may develop our product candidates.</w:t>
      </w:r>
    </w:p>
    <w:p>
      <w:pPr>
        <w:spacing w:after="0" w:line="32"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 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We actively seek to protect the intellectual property and proprietary technology that we believe is important to our business, including seeking, maintaining, enforcing and defending patent rights for our therapeutics and processes, whether developed internally or licensed from third parties. Our success will depend on our ability to obtain and maintain patent and other protection including data/market exclusivity for our product candidates and platform technology, preserve the confidentiality of our know-how and operate without infringing the valid and enforceable patents and proprietary rights of third parties. See “Risk Factors — Risks Related to Our Intellectual Property.”</w:t>
      </w:r>
    </w:p>
    <w:p>
      <w:pPr>
        <w:spacing w:after="0" w:line="7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policy is to seek to protect our proprietary position, generally by filing an initial priority filing at the U.K. Intellectual Property Office. This is followed by the filing of a patent application under the Patent Co-operation Treaty claiming priority from the initial application(s) and then filing applications for patent grant in territories including, for example, the United States, Europe, China and Japan. In each case, we determine the strategy and territories required after discussion with our patent attorneys so that we obtain relevant coverage in territories that are commercially important to us and our product candidates. We additionally rely on data exclusivity, market exclusivity and patent term extensions when available. We also rely on trade secrets and know-how relating to our underlying platform technology and product candidates. Prior to making any decision on filing any patent application, we consider with our patent attorneys whether patent protection is the most sensible strategy for protecting the invention concerned or whether the invention should be maintained as confidential.</w:t>
      </w:r>
    </w:p>
    <w:p>
      <w:pPr>
        <w:spacing w:after="0" w:line="84"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As of February 24, 2026, we owned 284 granted patents (of which 26 are U.S. issued patents) and 61 pending patent applications (of which five are U.S. pending patent applications). Commercially or strategically important non-U.S. jurisdictions in which we hold issued or pending patent applications include: Australia, Canada, China, Eurasia (in the form of a regional patent), Europe (in the form of a regional patent), Hong Kong, India, Israel, Japan, South Korea, Malaysia, Mexico, Philippines, Singapore, and South Africa.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NUC-7738</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own 85 granted patents and six pending applications covering the composition of matter of NUC-7738, a genus around NUC-7738 and specific uses of NUC-7738. Patents directed to NUC-7738 have been granted in major jurisdictions, including the United States, Europe and Japan. These granted patents and patents arising from these pending applications, if issued, are expected to expire in 2035 excluding any patent term adjustments and any patent term extensions.</w:t>
      </w:r>
    </w:p>
    <w:p>
      <w:pPr>
        <w:spacing w:after="0" w:line="72" w:lineRule="exact"/>
        <w:rPr>
          <w:sz w:val="20"/>
          <w:szCs w:val="20"/>
          <w:color w:val="auto"/>
        </w:rPr>
      </w:pPr>
    </w:p>
    <w:p>
      <w:pPr>
        <w:jc w:val="both"/>
        <w:ind w:right="380" w:firstLine="374"/>
        <w:spacing w:after="0" w:line="266" w:lineRule="auto"/>
        <w:rPr>
          <w:sz w:val="20"/>
          <w:szCs w:val="20"/>
          <w:color w:val="auto"/>
        </w:rPr>
      </w:pPr>
      <w:r>
        <w:rPr>
          <w:rFonts w:ascii="Times New Roman" w:cs="Times New Roman" w:eastAsia="Times New Roman" w:hAnsi="Times New Roman"/>
          <w:sz w:val="18"/>
          <w:szCs w:val="18"/>
          <w:color w:val="auto"/>
        </w:rPr>
        <w:t>We own patent applications covering formulations of NUC-7738, methods of making NUC-7738 (including those used in the clinical trials), and specific uses of NUC-7738. Patents arising from these pending applications are expected to expire in 2036, 2038 and 2043, excluding any patent term adjustments and any patent term extensions.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w:t>
      </w:r>
      <w:r>
        <w:rPr>
          <w:rFonts w:ascii="Times New Roman" w:cs="Times New Roman" w:eastAsia="Times New Roman" w:hAnsi="Times New Roman"/>
          <w:sz w:val="18"/>
          <w:szCs w:val="18"/>
          <w:b w:val="1"/>
          <w:bCs w:val="1"/>
          <w:i w:val="1"/>
          <w:iCs w:val="1"/>
          <w:color w:val="212529"/>
        </w:rPr>
        <w:t>3373</w:t>
      </w:r>
    </w:p>
    <w:p>
      <w:pPr>
        <w:spacing w:after="0" w:line="121"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We own 87 granted patents covering the composition of matter of NUC-3373, a genus around NUC-3373 and specific uses of NUC-3373. Those patents were granted in major territories, including the United States, Europe and Japan. These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1" w:name="page92"/>
    <w:bookmarkEnd w:id="91"/>
    <w:p>
      <w:pPr>
        <w:ind w:right="100"/>
        <w:spacing w:after="0" w:line="282" w:lineRule="auto"/>
        <w:rPr>
          <w:sz w:val="20"/>
          <w:szCs w:val="20"/>
          <w:color w:val="auto"/>
        </w:rPr>
      </w:pPr>
      <w:r>
        <w:rPr>
          <w:rFonts w:ascii="Times New Roman" w:cs="Times New Roman" w:eastAsia="Times New Roman" w:hAnsi="Times New Roman"/>
          <w:sz w:val="18"/>
          <w:szCs w:val="18"/>
          <w:color w:val="auto"/>
        </w:rPr>
        <w:t>granted patents and patents arising from the pending applications, if issued, are expected to expire in 2032, excluding any patent term adjustments and any patent term extensions.</w:t>
      </w:r>
    </w:p>
    <w:p>
      <w:pPr>
        <w:spacing w:after="0" w:line="54"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own patent applications covering formulations of NUC-3373 (including those used in the clinical trials), methods of making NUC-3373, and specific uses of NUC-3373. A patent claiming the clinical formulation of NUC-3373 has been granted in the United States and Japan. These patents and patents arising from these pending applications are expected to expire in 2036, 2037, 2038 and 2043, excluding any patent term adjustments and any patent term extensions.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Acelarin</w:t>
      </w:r>
    </w:p>
    <w:p>
      <w:pPr>
        <w:spacing w:after="0" w:line="121"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We own 10 granted patents, as well as one pending patent application, directed towards Acelarin in single diastereoisomer form. A patent claiming the more soluble single diastereoisomer of Acelarin has been granted in the United States, Europe and Japan. These granted patents and patents arising from the pending applications, if issued, are expected to expire in 2033, excluding any patent term adjustments and any patent term extensions.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Laws and </w:t>
      </w:r>
      <w:r>
        <w:rPr>
          <w:rFonts w:ascii="Times New Roman" w:cs="Times New Roman" w:eastAsia="Times New Roman" w:hAnsi="Times New Roman"/>
          <w:sz w:val="18"/>
          <w:szCs w:val="18"/>
          <w:b w:val="1"/>
          <w:bCs w:val="1"/>
          <w:i w:val="1"/>
          <w:iCs w:val="1"/>
          <w:color w:val="212529"/>
        </w:rPr>
        <w:t>Regulations</w:t>
      </w:r>
      <w:r>
        <w:rPr>
          <w:rFonts w:ascii="Times New Roman" w:cs="Times New Roman" w:eastAsia="Times New Roman" w:hAnsi="Times New Roman"/>
          <w:sz w:val="18"/>
          <w:szCs w:val="18"/>
          <w:b w:val="1"/>
          <w:bCs w:val="1"/>
          <w:i w:val="1"/>
          <w:iCs w:val="1"/>
          <w:color w:val="auto"/>
        </w:rPr>
        <w:t xml:space="preserve"> Regarding Patent Terms</w:t>
      </w:r>
    </w:p>
    <w:p>
      <w:pPr>
        <w:spacing w:after="0" w:line="121"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 patent’s term may be lengthened by a patent term adjustment, which compensates a patentee for administrative delays by the USPTO in granting a patent. The patent term of a European patent is 20 years from its effective filing date, which, unlike in the United States, is not subject to patent term adjustments in the same way as U.S. patents.</w:t>
      </w:r>
    </w:p>
    <w:p>
      <w:pPr>
        <w:spacing w:after="0" w:line="7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for example Supplementary Protection Certificates. In the future, if and when our products receive FDA approval, we expect to apply for patent term extensions on patents covering those products. We anticipate that some of our issued patents may be eligible for patent term extensions but such extensions may not be available and therefore our commercial exclusivity may be restricted.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Cardiff University License</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August 2009, we entered into a research, collaboration and license agreement with Cardiff University and University College Cardiff Consultants Ltd. (Cardiff Consultants), which we refer to as the Cardiff Agreement. The Cardiff Agreement was subsequently renewed and expired at the end of March 2022.</w:t>
      </w:r>
    </w:p>
    <w:p>
      <w:pPr>
        <w:spacing w:after="0" w:line="68"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Prior to the expiration of the Cardiff Agreement, we notified Cardiff University and Cardiff Consultants regarding our selected ProTides for potential development of commercial products. Pursuant to the terms set out in the Cardiff Agreement, Cardiff University and Cardiff Consultants have granted us an exclusive worldwide license to use for all purposes the Cardiff intellectual property in respect of the nucleoside family of our selected ProTides. This license survives the expiration of the Cardiff Agreement. During the license period, Cardiff University and Cardiff Consultants may not undertake any research for any competing third party on nucleoside families covered by the license where such research would make use of the Cardiff intellectual property, or to grant rights in the Cardiff intellectual property to any third party for use in connection with nucleosides covered by the licenses.</w:t>
      </w:r>
    </w:p>
    <w:p>
      <w:pPr>
        <w:spacing w:after="0" w:line="79"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On our filing, or that of a sublicensee, of patent applications resulting from research under the Cardiff Agreement, we will owe Cardiff Consultants certain immaterial payments. If we or our sublicensees develop and commercialize a product resulting from such research, we will owe Cardiff Consultants clinical development milestone payments of up to £1,875,000, provided that such milestone payments are due only with respect to the first product within each nucleoside family to achieve the milestone. We will also owe Cardiff Consultants royalties equal to a low-single digit percentage on our sales of a product resulting from such research. Should we sublicense our right to commercialize a product resulting from the research, we will owe Cardiff Consultants a high-single digit percentage of payments received in consideration of the sublicense.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Cardiff ProTides Agreement</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October 2009, we entered into a license and collaboration agreement with Cardiff ProTides Ltd. (Cardiff ProTides), which agreement was subsequently amended and restated as an assignment, license and collaboration agreement in March 2012 and was further amended in May 2012, which we refer to as the ProTides Agreement. Under the ProTides Agreement, we collaborated with Cardiff ProTides in the discovery, drug design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screening of purine and pyrimidine-based nucleosides as potential drug candidates. We funded certain work at Cardiff ProTides, and Cardiff ProTides has assigned to us all rights in the results of its research under the ProTides Agreement. Cardiff ProTides also assigned to us patents related to certain compounds of interest, including with respect to Acelarin, and granted us an exclusive, worldwide license, including the right to grant sublicenses, to rights in and technical information related to certain unpatented compounds for all therapeutic, diagnostic, prognostic and prophylactic applications.</w:t>
      </w:r>
    </w:p>
    <w:p>
      <w:pPr>
        <w:spacing w:after="0" w:line="8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If we or a sublicensee develop one or more products covered by a valid claim of an assigned patent or patent resulting from Cardiff ProTides’ research, such as Acelarin, we will owe Cardiff ProTides up to approximately $4.5 million in development and approval milestone payments in the aggregate for the first such product. Additional development and approval milestones would be payable for the first additional product in a new nucleoside series covered by a valid claim of an assigned patent or a patent resulting from Cardiff ProTides’ research, although the maximum potential value of such milestone payments is approximately half the value of the milestone payments associated with the first product. We will also owe Cardiff ProTides royalties equal to a percentage in mid- to high-single digits on sales of such products, subject to reduction under certain circumstances. Royalties on sales by sublicensees are set by formula, which formula would be likely to result in a royalty in the mid-single digits.</w:t>
      </w:r>
    </w:p>
    <w:p>
      <w:pPr>
        <w:spacing w:after="0" w:line="8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ProTides Agreement expires, on a country-by-country basis, on the later of the expiration, invalidity, abandonment, lapsing or rejection of the last valid claim of an assigned patent or patent resulting from Cardiff ProTides’ research, or, if certain technical information licensed from Cardiff ProTides remains confidential or the product is covered by a period of data exclusivity, ten years from the date of first commercial sale of a product in such country. The ProTides Agreement may be sooner terminated on an uncured material breach, bankruptcy of a party or, by Cardiff ProTides, if we challenge, or assist in a challenge, of the validity or ownership of an assigned patent or patent resulting from Cardiff ProTides’ research, or fail to pay amounts payable under the ProTides Agreement. It may also be sooner terminated where sums payable by us remain unpaid for 45 days after we receive a notice from Cardiff ProTides that the relevant sums are overdue. Upon a termination of the ProTides Agreement, our license rights will terminate except where the breach results from certain breaches by Cardiff ProTides, in which case our license rights continue on a non-exclusive basis, subject to reduced payment obligations. Upon termination of the ProTides Agreement, including as a result of our breach, we will be under an obligation to assign back to Cardiff ProTides the patents which Cardiff ProTides originally assigned to 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U.S. Federal Food, Drug, and Cosmetic Act (the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FDA refusal to approve pending new drug applications (NDAs), warning letters, voluntary product recalls, product seizures, total or partial suspension of production or distribution, injunctions, fines, civil penalties and criminal prosecution.</w:t>
      </w:r>
    </w:p>
    <w:p>
      <w:pPr>
        <w:spacing w:after="0" w:line="7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Pharmaceutical product development in the United States typically involves the performance of preclinical laboratory and animal tests, the submission to the FDA of an IND which must become effective before clinical testing may commence, and adequate,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7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studies to assess the characteristics and potential safety and efficacy of the product if necessary. The conduct of the preclinical and other nonclinical tests must comply with certain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 term nonclinical tests, such as animal tests of reproductive toxicity and carcinogenicity, may continue after the IND is submitted.</w:t>
      </w:r>
    </w:p>
    <w:p>
      <w:pPr>
        <w:spacing w:after="0" w:line="75" w:lineRule="exact"/>
        <w:rPr>
          <w:sz w:val="20"/>
          <w:szCs w:val="20"/>
          <w:color w:val="auto"/>
        </w:rPr>
      </w:pPr>
    </w:p>
    <w:p>
      <w:pPr>
        <w:jc w:val="both"/>
        <w:ind w:right="680" w:firstLine="374"/>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(GCP), an international standard meant to protect the rights and health of patients and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3" w:name="page94"/>
    <w:bookmarkEnd w:id="93"/>
    <w:p>
      <w:pPr>
        <w:ind w:right="440"/>
        <w:spacing w:after="0" w:line="266" w:lineRule="auto"/>
        <w:rPr>
          <w:sz w:val="20"/>
          <w:szCs w:val="20"/>
          <w:color w:val="auto"/>
        </w:rPr>
      </w:pPr>
      <w:r>
        <w:rPr>
          <w:rFonts w:ascii="Times New Roman" w:cs="Times New Roman" w:eastAsia="Times New Roman" w:hAnsi="Times New Roman"/>
          <w:sz w:val="18"/>
          <w:szCs w:val="18"/>
          <w:color w:val="auto"/>
        </w:rPr>
        <w:t>to define the roles of clinical trial sponsors, administrators, and monitors, and (iii) under protocols detailing the objectives of the clinical trial, the parameters to be used in monitoring safety and the effectiveness criteria to be evaluated. Each protocol involving testing within the United States and subsequent protocol amendments must be submitted to the FDA as part of the IND.</w:t>
      </w:r>
    </w:p>
    <w:p>
      <w:pPr>
        <w:spacing w:after="0" w:line="68"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A 30-day waiting period after the submission of each IND is required prior to the commencement of clinical testing in humans. If the FDA has neither commented on nor questioned the IND within this 30-day period, the clinical trial proposed in the IND may begin.</w:t>
      </w:r>
    </w:p>
    <w:p>
      <w:pPr>
        <w:spacing w:after="0" w:line="54"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(including prior to its initiation in response to the original IND submission) or impose other sanctions if it believes that the clinical trial either is not being conducted in accordance with FDA requirements or presents an unacceptable risk to the clinical trial patients. The clinical trial protocol and informed consent information for patients in clinical trials must also be submitted to an institutional review board (IRB) for review and approval. An IRB may also require the clinical trial at the site to be halted, either temporarily or permanently, for failure to comply with the IRB’s requirements or it may impose other conditions. An IRB must operate in compliance with FDA regulations.</w:t>
      </w:r>
    </w:p>
    <w:p>
      <w:pPr>
        <w:spacing w:after="0" w:line="79"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Phase 3 clinical trial with other confirmatory evidence may be sufficient in rare instances where the clinical trial is a large multicenter trial demonstrating internal consistency and a statistically very persuasive finding of a clinically meaningful effect on mortality, irreversible morbidity, or prevention of a disease with potentially serious outcome, and confirmation of the result in a second clinical trial would be practically or ethically impossible. In some cases, Phase 4 or post-approval clinical trials may be conducted after initial marketing approval to gain additional experience from the treatment of patients in the intended therapeutic indication, particularly for long-term safety follow up. In certain instances, the FDA may mandate the performance of Phase 4 clinical trials as a condition of marketing approval for an NDA.</w:t>
      </w:r>
    </w:p>
    <w:p>
      <w:pPr>
        <w:spacing w:after="0" w:line="89"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Congress also recently amended the FD&amp;C Act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If the FDA objects to a sponsor’s diversity action plan or otherwise requires significant changes to be made, it could delay initiation of the relevant clinical trial.</w:t>
      </w:r>
    </w:p>
    <w:p>
      <w:pPr>
        <w:spacing w:after="0" w:line="7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drug product may begin in the United States. The NDA must include the results of all nonclinical, clinical, and other testing and a compilation of data relating to the product’s pharmacology, chemistry, manufacture, and controls. The cost of preparing and submitting an NDA is substantial. Under federal law, the submission of most NDAs is additionally subject to a substantial application user fee (for example, for fiscal year 2025 this application fee exceeds $4.3 million). These fees are typically increased annually.</w:t>
      </w:r>
    </w:p>
    <w:p>
      <w:pPr>
        <w:spacing w:after="0" w:line="7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This FDA review typically takes twelve months from the date the NDA is submitted to the FDA (for a standard review) and eight months from the date the NDA is submitted (for a “priority review”) because the FDA has approximately two months, or 60 days, after NDA submission to make a “filing” decision. 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Under the goals and policies agreed to by the FDA under the Prescription Drug User Fee Act (PDUFA), the FDA has agreed to certain performance goals in the review of NDAs. For most applications involving first-in-kind molecular entities, FDA has ten months from the filing date in which to complete its initial review of a standard application and respond to the applicant, and six months from the filing date for an application with priority review. Priority review can be applied to drugs intended to treat a serious condition and that the FDA determines offer major advances in treatment by providing a significant improvement in safety or effectiveness, or that provide a treatment where no adequate therapy exists. The FDA</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ind w:right="160"/>
        <w:spacing w:after="0" w:line="282" w:lineRule="auto"/>
        <w:rPr>
          <w:sz w:val="20"/>
          <w:szCs w:val="20"/>
          <w:color w:val="auto"/>
        </w:rPr>
      </w:pPr>
      <w:r>
        <w:rPr>
          <w:rFonts w:ascii="Times New Roman" w:cs="Times New Roman" w:eastAsia="Times New Roman" w:hAnsi="Times New Roman"/>
          <w:sz w:val="18"/>
          <w:szCs w:val="18"/>
          <w:color w:val="auto"/>
        </w:rPr>
        <w:t>does not always meet its PDUFA goal dates, and the review process for both standard and priority new drug applications may be extended by FDA for three additional months to consider certain late-submitted information, or information intended to clarify information already provided in the submission.</w:t>
      </w:r>
    </w:p>
    <w:p>
      <w:pPr>
        <w:spacing w:after="0" w:line="54"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 which is typically a panel made up of independent clinicians and other experts, for review, evaluation, and a recommendation as to whether the application should be approved. The FDA is not bound by the recommendation of an advisory committee, but it considers such recommendations when making final decisions on approval. The FDA also may require submission of a risk evaluation and mitigation strategy (REMS) plan if it determines that a REMS is necessary to ensure that the benefits of the drug outweigh its risks and to assure the safe use of the drug or biological product. The REMS plan could include medication guides, physician communication plans, assessment plans and/or elements to assure safe use, such as restricted distribution methods, patient registries or other risk minimization tools.</w:t>
      </w:r>
    </w:p>
    <w:p>
      <w:pPr>
        <w:spacing w:after="0" w:line="81"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FDA determines the requirement for a REMS, as well as the specific REMS provisions, on a case-by-case basis. If the FDA concludes a REMS plan is needed, the sponsor of the NDA must submit a proposed REMS. The FDA will not approve an NDA without a REMS, if required.</w:t>
      </w:r>
    </w:p>
    <w:p>
      <w:pPr>
        <w:spacing w:after="0" w:line="54"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good manufacturing practice requirements (cGMP) is satisfactory and the NDA contains data that provide substantial evidence that the drug is safe and effective in the indication studied.</w:t>
      </w:r>
    </w:p>
    <w:p>
      <w:pPr>
        <w:spacing w:after="0" w:line="7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approval process is lengthy and often difficult, and the FDA may refuse to approve an NDA if the applicable regulatory criteria are not satisfied or may require additional clinical or other data and information. On the basis of the FDA’s evaluations of the NDA and accompanying information, including the results of the inspection of the manufacturing facilities, it issues either an approval letter or a complete response letter (CRL). A CRL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 Even with the submission of this additional information, however, the FDA ultimately may decide that the application does not satisfy the regulatory criteria for approval. In September 2025, the FDA began publishing CRLs soon after issuing them to the respective sponsors, breaking with the long-standing agency tradition of publishing CRLs with approval documentation after the product is approved.</w:t>
      </w:r>
    </w:p>
    <w:p>
      <w:pPr>
        <w:spacing w:after="0" w:line="8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An NDA approval letter authorizes commercial marketing of the drug with specific prescribing information for specific indications as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drug. Moreover, the FDA may prevent or limit further marketing of a product based on the results of post-marketing trials or surveillance programs. Once granted, product approvals may be withdrawn if compliance with regulatory requirements is not maintained or problems are identified following initial marketing or any time thereafter, and certain types of changes to the approved product, such as adding new indications, manufacturing changes and additional labeling claims, are subject to further testing requirements and FDA review and approval.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Sponsors of clinical trials of certain FDA-regulated products, including prescription drugs, are required to register and disclose certain clinical trial information within specific timeframes on a public website maintained by the U.S. National Institutes of Health called ClinicalTrials.gov. Information related to the product, patient population, phase of investigation, clinical trial sites and investigator, and other aspects of the clinical trial is made public as part of the registration of the clinical trial. Sponsors are also obligated to disclose the results of these clinical trials after completion if the product candidate is ultimately approved, and disclosure of the results of these clinical trials will be delayed until such approval. Competitors may use this publicly-available information to gain knowledge regarding the design and progress of our development programs. Failure to timely register a covered clinical trial or to submit trial results as provided for in the law can give rise to civil monetary penalties and also prevent the non-compliant party from receiving future grant funds from the federal government. The federal government has brought enforcement actions against clinical trial sponsors that fail to comply with such requirements under the Final Rule on ClinicalTrials.gov registration and reporting.</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Act</w:t>
      </w:r>
    </w:p>
    <w:p>
      <w:pPr>
        <w:spacing w:after="0" w:line="11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Orange Book Listing. </w:t>
      </w:r>
      <w:r>
        <w:rPr>
          <w:rFonts w:ascii="Times New Roman" w:cs="Times New Roman" w:eastAsia="Times New Roman" w:hAnsi="Times New Roman"/>
          <w:sz w:val="18"/>
          <w:szCs w:val="18"/>
          <w:color w:val="auto"/>
        </w:rPr>
        <w:t>In seeking approval for a drug through an NDA, applicants are required to list with the FDA each patent whose claims cover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applicant’s product. Upon approval of a drug, each of the patents listed in the application for the drug is then published in the FDA’s Approved Drug Products with Therapeutic Equivalence Evaluations, commonly known as the Orange Book. FDA-approved drugs identified in the Orange Book (often called reference listed drugs or listed drugs) can, in turn, be cited by potential generic competitors in support of approval of an abbreviated new drug application (ANDA), or by other follow-on product developers in support of a 505(b)(2) NDA, which relies in part on previous FDA findings of safety and effectiveness for one or more approved drug products, among other possible supporting information.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or allowed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In contrast, the 505(b)(2) regulatory pathway does not preclude the possibility that a follow-on applicant would need to conduct additional clinical trials or preclinical studies; for example, they may be seeking approval to market a previously approved drug for new indications or for a new patient population that would require new clinical data to demonstrate safety or effectiveness.</w:t>
      </w:r>
    </w:p>
    <w:p>
      <w:pPr>
        <w:spacing w:after="0" w:line="8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Any ANDA or 505(b)(2) NDA applicant is required to certify to the FDA concerning any patents listed in the FDA’s Orange Book for the NDA-approved drug product on which it is relying (in whole or in part). Specifically, the follow-on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An ANDA applicant may also elect to submit a section viii statement, certifying that its proposed ANDA label does not contain or carve out any language regarding the patented method-of-use, rather than certify to a listed method-of-use patent.</w:t>
      </w:r>
    </w:p>
    <w:p>
      <w:pPr>
        <w:spacing w:after="0" w:line="7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If the follow-on applicant does not challenge the listed patents, the ANDA or 505(b)(2) application will not be approved until all the listed patents claiming the referenced drug have expired. A certification that the new product will not infringe the already approved product’s listed patents, or that such patents are invalid, is called a Paragraph IV certification. If the ANDA or 505(b)(2) applicant has provided a Paragraph IV certification to the FDA, the applicant must also send notice of the Paragraph IV certification to the NDA and patent holders once the follow-on application has been accepted for filing by the FDA. The referenced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 or 505(b)(2) applicant.</w:t>
      </w:r>
    </w:p>
    <w:p>
      <w:pPr>
        <w:spacing w:after="0" w:line="84"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An ANDA or 505(b)(2) application also will not be approved until any applicable non-patent exclusivity listed in the Orange Book for the referenced product has expired.</w:t>
      </w:r>
    </w:p>
    <w:p>
      <w:pPr>
        <w:spacing w:after="0" w:line="50"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Exclusivity. </w:t>
      </w:r>
      <w:r>
        <w:rPr>
          <w:rFonts w:ascii="Times New Roman" w:cs="Times New Roman" w:eastAsia="Times New Roman" w:hAnsi="Times New Roman"/>
          <w:sz w:val="18"/>
          <w:szCs w:val="18"/>
          <w:color w:val="auto"/>
        </w:rPr>
        <w:t>Upon NDA approval of a new chemical entity (NCE), which is a drug that contains no active moiety that has been previously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FDA in any other NDA, the NCE receives five years of marketing exclusivity during which time the FDA cannot file any ANDA or 505(b)(2) NDA seeking approval of a generic or follow-on version of that drug if the follow-on applicant does not own or have a legal right of reference to all the data required for approval.</w:t>
      </w:r>
    </w:p>
    <w:p>
      <w:pPr>
        <w:spacing w:after="0" w:line="72"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However, an ANDA or 505(b)(2) NDA may be submitted one year before NCE exclusivity expires if a Paragraph IV certification is filed. If there is no listed patent in the Orange Book for the reference drug, there may not be a Paragraph IV certification, in which case no ANDA or 505(b)(2) NDA may be filed before the expiration of the exclusivity period attached to the referenced NDA product.</w:t>
      </w:r>
    </w:p>
    <w:p>
      <w:pPr>
        <w:spacing w:after="0" w:line="6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FD&amp;C Act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traditional NDA filed under Section 505(b)(1) of the FD&amp;C Act. However, an applicant submitting a full traditional NDA would be required to either conduct or obtain a right of reference to all of the preclinical studies and adequate and well-controlled clinical trials necessary to demonstrate safety and effectiveness.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96" w:name="page97"/>
    <w:bookmarkEnd w:id="96"/>
    <w:p>
      <w:pPr>
        <w:ind w:firstLine="37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Term Extension. </w:t>
      </w:r>
      <w:r>
        <w:rPr>
          <w:rFonts w:ascii="Times New Roman" w:cs="Times New Roman" w:eastAsia="Times New Roman" w:hAnsi="Times New Roman"/>
          <w:sz w:val="18"/>
          <w:szCs w:val="18"/>
          <w:color w:val="auto"/>
        </w:rPr>
        <w:t>After NDA approval, owners of relevant drug patents may apply for up to a five-year patent term extension. The allowable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 term extension is calculated as half of the drug’s testing phase - the time between IND submission and NDA submission - and all of the review phase</w:t>
      </w:r>
    </w:p>
    <w:p>
      <w:pPr>
        <w:spacing w:after="0" w:line="1" w:lineRule="exact"/>
        <w:rPr>
          <w:sz w:val="20"/>
          <w:szCs w:val="20"/>
          <w:color w:val="auto"/>
        </w:rPr>
      </w:pPr>
    </w:p>
    <w:p>
      <w:pPr>
        <w:ind w:right="120" w:firstLine="8"/>
        <w:spacing w:after="0" w:line="260" w:lineRule="auto"/>
        <w:tabs>
          <w:tab w:leader="none" w:pos="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between NDA submission and approval up to a maximum of five years. The time can be shortened if FDA determines that the applicant did not pursue approval with due diligence. The total patent term after the extension may not exceed 14 years.</w:t>
      </w:r>
    </w:p>
    <w:p>
      <w:pPr>
        <w:spacing w:after="0" w:line="73"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For patents that might expire during the application review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121"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Once an NDA is approved, the manufacturer and the new drug product will be subject to continuing regulation by the FDA, including, among other things, monitoring and recordkeeping activities, reporting of adverse experiences, and complying with promotion and advertising requirements, which include restrictions on promoting approved drugs for unapproved uses or patient populations (known as “off-label use”). The FDA closely regulates the post-approval marketing and promotion of drugs, including standards and regulations for direct-to-consumer advertising, off-label promotion, industry-sponsored scientific and educational activities and promotional activities involving the internet. Although physicians may prescribe legally available drugs for off-label uses, manufacturers may market their drugs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Prescription drug promotional materials also must be submitted to the FDA in conjunction with their first use. Further, changes to some of the conditions established in an approved application, including changes in indications, labeling, or certain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82"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is required following FDA approval of an NDA, in addition to annual marketing reports specific to each NDA. The FDA also may require post-marketing testing, sometimes called Phase 4 testing, a REMS program, and/or surveillance studies to monitor the effects of an approved product, or the FDA may place conditions on an approval that could restrict the distribution or use of the product.</w:t>
      </w:r>
    </w:p>
    <w:p>
      <w:pPr>
        <w:spacing w:after="0" w:line="6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addition, quality-control, drug manufacture, packaging, and labeling procedures, among other things, must continue to conform to cGMP after approval.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certain of their subcontractors are required to register their establishments with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quality control and recordkeeping to maintain compliance with cGMP. Regulatory authorities may impose a range of enforcement actions, including bringing a seizure and injunction in court, withdraw product approvals or request a product recall if a company fails to comply with cGMP requirements, and the discovery of problems with a product after approval may result in restrictions on a product, manufacturer or holder of an approved NDA, including recall.</w:t>
      </w:r>
    </w:p>
    <w:p>
      <w:pPr>
        <w:spacing w:after="0" w:line="86"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Once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and/or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amendments to the FD&amp;C Act, NDAs or supplements to NDAs must contain data that are adequate to assess the safety and effectiveness of the drug for the claimed indications in all relevant pediatric subpopulations and to support dosing and administration for each pediatric subpopulation for which the drug is safe and effective.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trials or other clinical development programs. The FDA may grant full or partial waivers, or deferrals, for submission of pediatric data. The FDA Reauthorization Act of 2017 amended the FD&amp;C Act to require pediatric investigations of drugs intended for treatment of an adult cancer if directed at a molecular target the FDA determines to be substantially relevant to the growth or progression of a pediatric cancer, unless the FDA waives or defers the requirement.</w:t>
      </w:r>
    </w:p>
    <w:p>
      <w:pPr>
        <w:spacing w:after="0" w:line="7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pediatric exclusivity is another type of non-patent marketing exclusivity available in the United States that, if granted, provides for the attachment of an additional six months of marketing protection to the term of any existing regulatory exclusivity or listed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The issuance of a Written Request does not require the sponsor to undertake the described studies.</w:t>
      </w:r>
    </w:p>
    <w:p>
      <w:pPr>
        <w:spacing w:after="0" w:line="84"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Congress periodically considers enacting new incentives or mandates applicable to pediatric drug development, and the regulatory requirements applicable to pediatric drug developers may change in the future. For example, in February 2026, bipartisan legislation was signed into law and grants FDA authority to assess penalties against companies that do not complete required pediatric studies.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Protocol Assessment</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 company may reach an agreement with FDA under the Special Protocol Assessment (SPA) process as to the required design and size of clinical trials intended to form the primary basis of an efficacy claim. Under the FD&amp;C Act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FDA agree to the change in writing, or if the clinical trial sponsor fails to follow the protocol that was agreed upon with the FDA.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priority review designation, and the Commissioner’s National Priority Voucher (CNPV) pilot program. Even if a drug qualifies for one or more of these expedited development and review programs, the FDA may later decide that the drug no longer meets the conditions for qualification or that the time period for FDA review or approval will not be shortened, and the designation may be withdrawn.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8" w:name="page99"/>
    <w:bookmarkEnd w:id="98"/>
    <w:p>
      <w:pPr>
        <w:ind w:firstLine="374"/>
        <w:spacing w:after="0" w:line="254"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request may be made at any time during the drug development process, although it is typically requested at the time of IND submission and generally no later than the pre-NDA meeting. The FDA will respond within 60 calendar days of receipt of the request.</w:t>
      </w:r>
    </w:p>
    <w:p>
      <w:pPr>
        <w:spacing w:after="0" w:line="84"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Priority review, which is requested at the time of NDA submission, is designed to give drugs that offer major advances in treatment or provide a treatment where no adequate therapy exists an initial review within six months as compared to a standard review time of ten months (starting from the date of filing for a new molecular entity (NME), or from the date of receipt for a non-NME application). The FDA determines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agency attention and resources to the evaluation of such applications, and to shorten the FDA’s goal for taking action under its PDUFA agreements.</w:t>
      </w:r>
    </w:p>
    <w:p>
      <w:pPr>
        <w:spacing w:after="0" w:line="8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 product candidate intended to treat, alone or in combination with another therapy, a serious or life-threatening disease or condition may also be eligible for designation by FDA as a “breakthrough therapy” upon a request made by the IND sponsor. A Breakthrough Therapy designation may be granted when preliminary clinical evidence indicates that the drug may demonstrate substantial improvement over available therapy on one or more clinically significant endpoints. A sponsor may request Breakthrough Therapy designation at the time that the IND is submitted, and ideally no later than at the end-of-Phase 2 meeting to benefit from the program’s features. The FDA will respond to a Breakthrough Therapy designation request within 60 days of receipt of the request. A drug that receives Breakthrough Therapy designation is eligible for all Fast Track designation features, intensive guidance on an efficient drug development program, beginning as early as Phase 1 and commitment from the FDA involving senior managers.</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2025, the FDA created a new voucher program called the CNPV with the goal of radically expediting therapeutic product review and approval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processes. The agency may award a CNPV to a company or a specific product candidate that demonstrates alignment with certain national health priorities.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aims to take action on a marketing application for which a CNPV is used within one to two months after the filing date.</w:t>
      </w:r>
    </w:p>
    <w:p>
      <w:pPr>
        <w:spacing w:after="0" w:line="9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Specific to oncology drug applications, FDA’s Oncology Center of Excellence has developed a program called Real-Time Oncology Review (RTOR). RTOR facilitates earlier submission of topline results (i.e., efficacy and safety results from clinical studies before the study report is completed) and datasets, after database lock, to support an earlier start to the agency’s review of a marketing application review. The intent of RTOR is to provide FDA reviewers earlier access to data, to identify data quality and potential review issues, and to potentially enable early feedback to the applicant, which can allow for a more streamlined and efficient review process for the product’s NDA. Applicants can apply for review under RTOR when the database for a pivotal trial has been locked and the oncology product is eligible under FDA’s criteria for the program. Eligibility is determined on a case-by-case basis and generally requires (a) clinical evidence indicating that the drug may demonstrate substantial improvement on one or more clinically relevant endpoints over available therapies; (b) the use of straightforward study designs and easily interpreted clinical trial endpoints (e.g., overall survival, response rates); and (c) that no aspect of the NDA is likely to require a longer review time (e.g., requirement for new REMS or input from an advisory committee). In November 2023, the agency finalized guidance for industry on RTOR.</w:t>
      </w:r>
    </w:p>
    <w:p>
      <w:pPr>
        <w:spacing w:after="0" w:line="86" w:lineRule="exact"/>
        <w:rPr>
          <w:sz w:val="20"/>
          <w:szCs w:val="20"/>
          <w:color w:val="auto"/>
        </w:rPr>
      </w:pPr>
    </w:p>
    <w:p>
      <w:pPr>
        <w:ind w:right="1060" w:firstLine="374"/>
        <w:spacing w:after="0" w:line="375" w:lineRule="auto"/>
        <w:rPr>
          <w:sz w:val="20"/>
          <w:szCs w:val="20"/>
          <w:color w:val="auto"/>
        </w:rPr>
      </w:pPr>
      <w:r>
        <w:rPr>
          <w:rFonts w:ascii="Times New Roman" w:cs="Times New Roman" w:eastAsia="Times New Roman" w:hAnsi="Times New Roman"/>
          <w:sz w:val="18"/>
          <w:szCs w:val="18"/>
          <w:color w:val="auto"/>
        </w:rPr>
        <w:t xml:space="preserve">None of these programs changes the standards for approval and may not ultimately expedite the development or NDA approval process. </w:t>
      </w:r>
      <w:r>
        <w:rPr>
          <w:rFonts w:ascii="Times New Roman" w:cs="Times New Roman" w:eastAsia="Times New Roman" w:hAnsi="Times New Roman"/>
          <w:sz w:val="18"/>
          <w:szCs w:val="18"/>
          <w:b w:val="1"/>
          <w:bCs w:val="1"/>
          <w:i w:val="1"/>
          <w:iCs w:val="1"/>
          <w:color w:val="auto"/>
        </w:rPr>
        <w:t>Accelerated Approval</w:t>
      </w:r>
    </w:p>
    <w:p>
      <w:pPr>
        <w:spacing w:after="0" w:line="1"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ind w:right="360"/>
        <w:spacing w:after="0" w:line="258" w:lineRule="auto"/>
        <w:rPr>
          <w:sz w:val="20"/>
          <w:szCs w:val="20"/>
          <w:color w:val="auto"/>
        </w:rPr>
      </w:pPr>
      <w:r>
        <w:rPr>
          <w:rFonts w:ascii="Times New Roman" w:cs="Times New Roman" w:eastAsia="Times New Roman" w:hAnsi="Times New Roman"/>
          <w:sz w:val="18"/>
          <w:szCs w:val="18"/>
          <w:color w:val="auto"/>
        </w:rPr>
        <w:t>treatments. Discussions with the FDA about the feasibility of an accelerated approval typically begin early in the development of the drug in order to identify, among other things, an appropriate endpoint.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75"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w:t>
      </w:r>
    </w:p>
    <w:p>
      <w:pPr>
        <w:spacing w:after="0" w:line="72"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75"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In addition, Congress recently provided FDA additional statutory authority to mitigate potential risks to patients from continued marketing of ineffective drugs previously granted accelerated approval. Under these amendments to the FD&amp;C Act, the agency may require a sponsor of a product granted accelerated approval to have a confirmatory trial underway prior to approval. The sponsor must also submit progress reports on a confirmatory trial every six months until the trial is complete, and such reports will be published on FDA’s website. Failure to conduct required post-approval studies, or to confirm the predicted clinical benefit of the product during post-marketing studies, would allow the FDA to withdraw approval of the drug. Congress also amended the law to give FDA the option of using expedited procedures to withdraw product approval if the sponsor’s confirmatory trial fails to verify the claimed clinical benefits of the product. Prior to the recent statutory amendments enacted by Congress, several oncology sponsors voluntarily withdrew specific indications for their drug products that were being marketed pursuant to accelerated approval, and the FDA’s Oncology Center of Excellence launched an initiative called Project Confirm, aimed at promoting transparency in the area of accelerated approvals for oncology indications. Scrutiny of the accelerated approval pathway is likely to continue in the coming years and may lead to further legislative and/or administrative changes in the future.</w:t>
      </w:r>
    </w:p>
    <w:p>
      <w:pPr>
        <w:spacing w:after="0" w:line="7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All promotional materials for product candidates being considered and approved under the accelerated approval program are subject to prior review by the FDA.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 Devices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If we decide that a diagnostic test would provide useful information for patient selection following commercialization of our future drug products or if the FDA requires us to develop such a test and to include screening requirements in the prescribing information for our future approved drug products, we may work with a collaborator to develop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or companion test. The FDA regulates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tests as medical devices and requires separate regulatory authorization prior to commercialization. The type of regulation to which such a test will be subjected will depend in part on a risk assessment by the FDA, as well as a determination of whether the test is intended to yield results that would be helpful for prescribers to know versus results that the FDA or we believe are necessary for the safe and effective use of our drugs under development.</w:t>
      </w:r>
    </w:p>
    <w:p>
      <w:pPr>
        <w:spacing w:after="0" w:line="7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Companion diagnostics and complementary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and complementary diagnostics are regulated as medical devices by the FDA. The level of risk associated with a new diagnostic test combined with available controls to mitigate risk determines whether a companion diagnostic device requires Premarket Approval (PMA) from the FDA or if it can be cleared by the agency through the 510(k) premarket notification process based on a showing of substantial equivalence to a commercially available device. The use of an IVD companion diagnostic device with a therapeutic product will be stipulated in the instructions for use in the labeling of both the diagnostic device and the corresponding therapeutic product, including the labeling of any generic equivalents of the therapeutic product. For a novel</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0" w:name="page101"/>
    <w:bookmarkEnd w:id="100"/>
    <w:p>
      <w:pPr>
        <w:ind w:right="100"/>
        <w:spacing w:after="0" w:line="261" w:lineRule="auto"/>
        <w:rPr>
          <w:sz w:val="20"/>
          <w:szCs w:val="20"/>
          <w:color w:val="auto"/>
        </w:rPr>
      </w:pPr>
      <w:r>
        <w:rPr>
          <w:rFonts w:ascii="Times New Roman" w:cs="Times New Roman" w:eastAsia="Times New Roman" w:hAnsi="Times New Roman"/>
          <w:sz w:val="18"/>
          <w:szCs w:val="18"/>
          <w:color w:val="auto"/>
        </w:rPr>
        <w:t>therapeutic product for which a companion diagnostic device is essential for the safe and effective use of the product, the FDA expects that the therapeutic sponsor will address the need for an approved or cleared IVD companion diagnostic device in its therapeutic product development plan and that, in most cases, the therapeutic product and its corresponding companion diagnostic will be developed contemporaneously, such that the companion diagnostic device is PMA-approved or 510(k)-cleared contemporaneously with the therapeutic product.</w:t>
      </w:r>
    </w:p>
    <w:p>
      <w:pPr>
        <w:spacing w:after="0" w:line="7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Recently, the FDA issued a proposed rule to reclassify certain nucleic acid-based test systems indicated for use with a corresponding approved oncology therapeutic product from Class III (PMA) into Class II, subject to premarket notification with special controls. This change, if finalized in 2026, will decrease the regulatory burden on industry because manufacturers of these kinds of IVD companion diagnostic products will no longer have to submit a PMA and receive FDA approval before marketing the test.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Europe/Rest of World Government Regulation</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are and will be subject, either directly or through our distribution partners, to a variety of regulations in other jurisdictions governing, among other things, clinical trials and commercial sales and distribution of our products, if approved.</w:t>
      </w:r>
    </w:p>
    <w:p>
      <w:pPr>
        <w:spacing w:after="0" w:line="5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non-U.S. countries prior to the commencement of clinical trials or marketing of the product in those countries. Moreover,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7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Certain countries outside of the United States have a process that requires the submission of a CTA much like an IND prior to the commencement of human clinical trials. In Europe, for example, a CTA must be submitted to the competent national health authority and to independent ethics committees in each country in which a company plans to conduct clinical trials. Once the CTA is approved in accordance with a country’s requirements, clinical trials may proceed in that country.</w:t>
      </w:r>
    </w:p>
    <w:p>
      <w:pPr>
        <w:spacing w:after="0" w:line="72"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even though there is already some degree of legal harmonization in the member states resulting from the national implementation of underlying E.U. legislation. In all cases, the clinical trials are conducted in accordance with GCP and other applicable regulatory requirements. The Clinical Trials Regulation (Regulation (E.U.) 536/2014) began to harmonize the assessment and supervision processes for clinical trials throughout the European Union and when it came in to force on January 31, 2022, it repealed the existing E.U. Clinical Trials Directive (EC) 2001/20/EC and national legislation that was put in place to implement the Directive. The new Clinical Trials Regulation aims to simplify and streamline the approval of clinical trials in the European Union. The main characteristics of the regulation include: a streamlined application procedure via a single entry point, the “EU portal” called the Clinical Trial Information System (CTIS); a single set of documents to be prepared and submitted for the application as well as simplified reporting procedures for clinical trial sponsors; and a harmonized procedure for the assessment of applications for clinical trials. Use of the CTIS became mandatory for new clinical trial application submissions as of February 1, 2023.</w:t>
      </w:r>
    </w:p>
    <w:p>
      <w:pPr>
        <w:spacing w:after="0" w:line="86"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 new drug, or medicinal product, in the European Union, a sponsor must obtain approval of a marketing authorization application (MAA). The way in which a medicinal product can be approved in the European Union depends on the nature of the medicinal product.</w:t>
      </w:r>
    </w:p>
    <w:p>
      <w:pPr>
        <w:spacing w:after="0" w:line="68"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The centralized procedure results in a single MAA granted by the European Commission that is valid across the European Union, as well as in Iceland, Liechtenstein and Norway. The centralized procedure is compulsory for human drugs that are: (i) derived from biotechnology processes, such as genetic engineering, (ii) contain a new active substance indicated for the treatment of certain diseases, such as HIV/AIDS, cancer, diabetes, neurodegenerative diseases, autoimmune and other immune dysfunctions and viral diseases, (iii) officially designated “orphan drugs” (drugs used for rare human diseases) and (iv) advanced-therapy medicines, such as gene-therapy, somatic cell-therapy or tissue-engineered medicines. The centralized procedure may, at the request of the applicant, also be used for human drugs which do not fall within the above mentioned categories if the human drug (a) contains a new active substance which, on the date of entry into force of this Regulation, was not authorized in the Community; or (b) the applicant shows that the medicinal product constitutes a significant therapeutic, scientific or technical innovation or that the granting of authorization in the centralized procedure is in the interests of patients or animal health at European Community level.</w:t>
      </w:r>
    </w:p>
    <w:p>
      <w:pPr>
        <w:spacing w:after="0" w:line="80"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Under the centralized procedure in the European Union, the maximum timeframe for the evaluation of a MAA by the EMA is 210 days (excluding clock stops, when additional written or oral information is to be provided by the applicant in response to questions asked by the Committee for Medicinal Products for Human Use (CHMP)), with adoption of the actual marketing authorization by the European Commission thereafter. Accelerated evaluation might be granted by the CHMP in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ind w:right="20"/>
        <w:spacing w:after="0" w:line="261" w:lineRule="auto"/>
        <w:rPr>
          <w:sz w:val="20"/>
          <w:szCs w:val="20"/>
          <w:color w:val="auto"/>
        </w:rPr>
      </w:pPr>
      <w:r>
        <w:rPr>
          <w:rFonts w:ascii="Times New Roman" w:cs="Times New Roman" w:eastAsia="Times New Roman" w:hAnsi="Times New Roman"/>
          <w:sz w:val="18"/>
          <w:szCs w:val="18"/>
          <w:color w:val="auto"/>
        </w:rPr>
        <w:t>exceptional cases, when a medicinal product is expected to be of a major public health interest from the point of view of therapeutic innovation, defined by three cumulative criteria: the seriousness of the disease to be treated; the absence of an appropriate alternative therapeutic approach, and anticipation of exceptional high therapeutic benefit. In this circumstance, EMA ensures that the evaluation for the opinion of the CHMP is completed within 150 days and the opinion issued thereafter.</w:t>
      </w:r>
    </w:p>
    <w:p>
      <w:pPr>
        <w:spacing w:after="0" w:line="72"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(MRP) for the approval of human drugs is an alternative approach to facilitate individual national marketing authorizations within the European Union. Basically, the MRP may be applied for all human drugs for which the centralized procedure is not obligatory. The MRP is applicable to the majority of conventional medicinal products, and is based on the principle of recognition of an already existing national marketing authorization by one or more member states.</w:t>
      </w:r>
    </w:p>
    <w:p>
      <w:pPr>
        <w:spacing w:after="0" w:line="7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characteristic of the MRP is that the procedure builds on an already existing marketing authorization in a member state of the European Union that is used as reference in order to obtain marketing authorizations in other member states. In the MRP, a marketing authorization for a drug already exists in one or more member states and subsequently marketing authorization applications are made in other member states by referring to the initial marketing authorization. The member state in which the marketing authorization was first granted will then act as the reference member state. The member states where the marketing authorization is subsequently applied for act as concerned member states.</w:t>
      </w:r>
    </w:p>
    <w:p>
      <w:pPr>
        <w:spacing w:after="0" w:line="75"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MRP is based on the principle of the mutual recognition by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in 90 days. After the assessment is completed, copies of the report are sent to all member states, together with the approved summary of product characteristics, labeling and package leaflet. The concerned member states then have 90 days to recognize the decision of the reference member state and the summary of product characteristics, labeling and package leaflet. National marketing authorizations shall be granted within 30 days after acknowledgement of the agreement.</w:t>
      </w:r>
    </w:p>
    <w:p>
      <w:pPr>
        <w:spacing w:after="0" w:line="79"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Should any member state refuse to recognize the marketing authorization by the reference member state, on the grounds of potential serious risk to public health, the issue will be referred to a coordination group. Within a timeframe of 60 days, member states shall, within the coordination group,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79"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April 2023, the European Commission issued a proposal for a new Directive and a new Regulation, which will revise and replace the existing general pharmaceutical legislation. As of December 2025, the three EU institutions, the European Commission, the European Parliament and the Council of the European Union, are in the process of negotiating the final content of the new Directive and Regulation. Once negotiations are complete, the European Parliament and the Council of the European Union will vote on whether to approve the Directive and Regulation. If adopted and implemented, these revisions will significantly change several aspects of drug development and approval in the European Union.</w:t>
      </w:r>
    </w:p>
    <w:p>
      <w:pPr>
        <w:spacing w:after="0" w:line="183"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United Kingdom formally left the European Union on January 31, 2020. At that time, U.K. medicines legislation was updated to reflect various procedural changes. To date, U.K. medicines legislation has not materially deviated from the law that applied prior to the United Kingdom’s departure from the European Union. The U.K. government has not suggested making material amendments to the requirement to obtain or maintain a marketing authorization for a new medicine.</w:t>
      </w:r>
    </w:p>
    <w:p>
      <w:pPr>
        <w:spacing w:after="0" w:line="7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Since the United Kingdom’s withdrawal from the European Union, the U.K. regulator, the MHRA, has issued guidance on how to apply for Marketing Authorization. This procedure remains largely the same as it was before the United Kingdom formally left the European Union. However, the MHRA has outlined the International Recognition Procedure, whereby the United Kingdom may rely on a decision taken by certain “Reference Regulators” in order to grant a U.K. marketing authorization on an expediated manner. In most cases, if the marketing authorization was granted by a Reference Regulator within 2 years before the application is submitted in the United Kingdom, the review period will be 60 days. In other instances, the review period will be 110 days. The Reference Regulators include the FDA, the EMA and the competent authorities in each member state of the European Union, Switzerland, Australia, Canada, Japan, and Singapore.</w:t>
      </w:r>
    </w:p>
    <w:p>
      <w:pPr>
        <w:spacing w:after="0" w:line="8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other applicable regulatory requirements.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from the FDA. Sales of any of our product candidates, if approved, will depend, in part, on the extent to which the costs of the products will be covered by third-party payors, including government healthcare programs such as Medicare and Medicaid, and private payors, such as commercial health insurers and managed care organizations. Recent U.S. federal actions include initiatives incorporating “most favored nation” (international reference pricing) concepts for certain prescription drugs, as well as agency testing of new payment models that could tie Medicare reimbursement or manufacturer rebates to prices in specified reference countries. Third-party payors determine which drugs they will cover and the amount of reimbursement they will provide for a covered drug. In the United States, there is no uniform system among payors for making coverage and reimbursement decisions. In addition,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FDA-approved products for a particular indication.</w:t>
      </w:r>
    </w:p>
    <w:p>
      <w:pPr>
        <w:spacing w:after="0" w:line="194"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our products, if approved for sale, we may need to conduct expensive pharmacoeconomic studies in order to demonstrate the medical necessity and cost-effectiveness of the product, in addition to the costly studies required to obtain FDA or other comparable regulatory approvals. Even if we conduct pharmacoeconomic studies, our product candidates may not be considered medically necessary or cost-effective by payors. Further, a payor’s decision to provide coverage for a product does not imply that an adequate reimbursement rate will be approved.</w:t>
      </w:r>
    </w:p>
    <w:p>
      <w:pPr>
        <w:spacing w:after="0" w:line="75" w:lineRule="exact"/>
        <w:rPr>
          <w:sz w:val="20"/>
          <w:szCs w:val="20"/>
          <w:color w:val="auto"/>
        </w:rPr>
      </w:pPr>
    </w:p>
    <w:p>
      <w:pPr>
        <w:ind w:right="60" w:firstLine="374"/>
        <w:spacing w:after="0" w:line="217" w:lineRule="exact"/>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The U.S.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products for branded prescription drugs. For example, in the United States,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future payments for our products. Although the scope, timing and ultimate impact of these most favored nation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style initiatives are uncertain and subject to rulemaking, program design and potential legal challenges, if implemented or expanded they could reduce reimbursement or net realized prices for affected products and adversely impact our margins and market access, particularly for products reimbursed under Medicare. For example, the Centers for Medicare &amp; Medicaid Services (CMS) may develop new payment and delivery models, such as bundled payment models. In late 2025, CMS proposed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pilot models for Medicare Parts B and D that would require manufacturer rebates when U.S. prices exceed prices in designated reference countries; in parallel, the Trump Administration announced a series of manufacturer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arrangements reflecting most favored nation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style pricing commitments in certain programs and channels.</w:t>
      </w:r>
    </w:p>
    <w:p>
      <w:pPr>
        <w:spacing w:after="0" w:line="209"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CMS to implement many of these provisions through guidance, as opposed to regulation, for the initial years. CMS has begun to implement these new authorities, by entering into agreements with pharmaceutical manufacturers to conduct price negotiations and ultimately announcing several round of negotiated prices; those negotiated “maximum fair prices” will be effective initially as of January 1, 2026 (payment year 2026) with subsequent rounds adding additional drugs with negotiated maximum fair prices effective in subsequent years.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potential legislative changes enacted by Congress or programmatic changes implemented at CMS by the Trump Administration, may impact the IRA drug price negotiation program in the future. For that and other reasons, it is currently unclear how the IRA will be effectuated, or the impact of the IRA on our business.</w:t>
      </w:r>
    </w:p>
    <w:p>
      <w:pPr>
        <w:spacing w:after="0" w:line="6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Separately, the Trump Administration announced the creation of a government website called TrumpRx, which launched in February 2026 and will allow consumers to purchase certain drugs at reduced prices as negotiated between the drug manufacturers and the administration. As of February 2026, the Trump Administration had secured deals with 16 major drug manufacturers to offer certain drugs at most-favored-nation prices.</w:t>
      </w:r>
    </w:p>
    <w:p>
      <w:pPr>
        <w:spacing w:after="0" w:line="6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The focus on cost containment measures in the United States has increased and we expect will continue to increase the pressure on pharmaceutical pricing. Coverage policies and third-party reimbursement rates may change at any time. Even if we attain favorable coverage and reimbursement status for one or more products for which we receive regulatory approval, less favorable coverage policies and reimbursement rates may be implemented in the future.</w:t>
      </w:r>
    </w:p>
    <w:p>
      <w:pPr>
        <w:spacing w:after="0" w:line="7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Some countries provide that drug products may be marketed only after a reimbursement price has been agreed. Some countries may require the completion of additional studies that compare the cost-effectiveness of our product candidate to currently available therapies (so called health technology assessment (HTA)) in order to obtain reimbursement or pricing approval.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Other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tend to be significantly lower.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Regulations</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Physicians, other healthcare providers, and third-party payors will play a primary role in the recommendation and prescription of any product candidates for which we obtain marketing approval. Although we currently do not have any products on the market, our current and future business operations are and will be subject to various U.S. federal and state and other foreign fraud and abuse laws and other healthcare laws and regulations. These laws and regulations may impact, among other things, our arrangements with third-party payors, healthcare professionals who participate in our clinical research programs, healthcare professionals and others who purchase, recommend or prescribe our approved products, and our proposed sales, marketing, distribution, and education programs. The U.S. federal and state healthcare laws and regulations that may affect our ability to operate include:</w:t>
      </w:r>
    </w:p>
    <w:p>
      <w:pPr>
        <w:spacing w:after="0" w:line="79" w:lineRule="exact"/>
        <w:rPr>
          <w:sz w:val="20"/>
          <w:szCs w:val="20"/>
          <w:color w:val="auto"/>
        </w:rPr>
      </w:pPr>
    </w:p>
    <w:p>
      <w:pPr>
        <w:ind w:left="1020" w:hanging="503"/>
        <w:spacing w:after="0" w:line="261"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persons from, among other things, knowingly and willfully soliciting, offering, receiving, offering or paying anything of value, directly or indirectly, in cash or in kind, to induce or reward either the referral of an individual for, or the purchase, order or recommendation of, any good or service, for which payment may be made under federally funded healthcare programs, such as Medicare and Medicaid;</w:t>
      </w:r>
    </w:p>
    <w:p>
      <w:pPr>
        <w:spacing w:after="0" w:line="71"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and criminal false claims laws, including, without limitation, the federal civil monetary penalties law and the civil False Claims Act (which can be enforced by private citizens through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executing or attempting to execute a scheme to defraud any healthcare benefit program and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imposes certain obligations, including mandatory contractual terms, with respect to safeguarding the privacy, security and transmission of individually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ind w:left="1020" w:right="80"/>
        <w:spacing w:after="0" w:line="266" w:lineRule="auto"/>
        <w:rPr>
          <w:sz w:val="20"/>
          <w:szCs w:val="20"/>
          <w:color w:val="auto"/>
        </w:rPr>
      </w:pPr>
      <w:r>
        <w:rPr>
          <w:rFonts w:ascii="Times New Roman" w:cs="Times New Roman" w:eastAsia="Times New Roman" w:hAnsi="Times New Roman"/>
          <w:sz w:val="18"/>
          <w:szCs w:val="18"/>
          <w:color w:val="auto"/>
        </w:rPr>
        <w:t>identifiable health information without the appropriate authorization by entities subject to the law, such as healthcare providers, health plans, and healthcare clearinghouses and their respective business associates that perform certain functions or activities that involve the use or disclosure of protected health information on their behalf;</w:t>
      </w:r>
    </w:p>
    <w:p>
      <w:pPr>
        <w:spacing w:after="0" w:line="68" w:lineRule="exact"/>
        <w:rPr>
          <w:sz w:val="20"/>
          <w:szCs w:val="20"/>
          <w:color w:val="auto"/>
        </w:rPr>
      </w:pPr>
    </w:p>
    <w:p>
      <w:pPr>
        <w:ind w:left="1020" w:right="200" w:hanging="503"/>
        <w:spacing w:after="0" w:line="26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which requires certain manufacturers of drugs, devices, biologics and medical supplies reimbursed under Medicare, Medicaid, or the Children’s Health Insurance Program to report, on an annual basis, to CMS information related to payments and other transfers of value provided to physicians, teaching hospitals and certain advanced non-physician health care practitioners, as well as physician ownership and investment interests; and</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impose similar restrictions and may apply to items or services reimbursed by non-governmental third-party payors, including private insurers; 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state health information privacy and data breach notification laws, which govern the collection, use, disclosure, and protection of health-related and other personal information, many of which differ from each other in significant ways and often are not pre-empted by HIPAA, thus complicating compliance efforts.</w:t>
      </w:r>
    </w:p>
    <w:p>
      <w:pPr>
        <w:spacing w:after="0" w:line="18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If our product candidates are approved in the United States, we will be required to spend substantial time and money to ensure that our business arrangements with third parties comply with applicable healthcare laws and regulations. In the United States, healthcare reform legislation has strengthened these federal and state healthcare laws. For example, the ACA amended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provided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safe harbors available, it is possible that some of our business activities could be subject to challenge under one or more of such laws.</w:t>
      </w:r>
    </w:p>
    <w:p>
      <w:pPr>
        <w:spacing w:after="0" w:line="8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Moreover, we expect that there will continue to be federal and state laws and regulations, proposed and implemented, that could impact our future operations and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Potential Changes to Health Care Laws</w:t>
      </w:r>
    </w:p>
    <w:p>
      <w:pPr>
        <w:spacing w:after="0" w:line="121"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75"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discussed above under “Coverage, Pricing and Reimbursement,” a primary trend in the U.S. health care industry and elsewhere is cost containment. We expect that there will continue to be a number of federal and state proposals to implement governmental pricing controls and limit the growth of healthcare costs, including the cost of prescription drugs. The Patient Protection and Affordable Care Act (ACA) and the IRA are two examples of recently enacted federal legislation that introduced complex changes and new requirements for the health care and biopharmaceutical industries.</w:t>
      </w:r>
    </w:p>
    <w:p>
      <w:pPr>
        <w:spacing w:after="0" w:line="72" w:lineRule="exact"/>
        <w:rPr>
          <w:sz w:val="20"/>
          <w:szCs w:val="20"/>
          <w:color w:val="auto"/>
        </w:rPr>
      </w:pPr>
    </w:p>
    <w:p>
      <w:pPr>
        <w:jc w:val="both"/>
        <w:ind w:right="260" w:firstLine="374"/>
        <w:spacing w:after="0" w:line="257"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Supreme Court held unanimously that federal law does not preempt the states’ ability to regulate pharmacy benefit managers (PBMs) and other members of the health care and pharmaceutical supply chain, an important decision that has led to more aggressive efforts by states in this area. The Federal Trade Commission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as PBM reform continues to be a bipartisan priority. In February 2026, President Trump signed into law several PBM</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ind w:right="60"/>
        <w:spacing w:after="0" w:line="253" w:lineRule="auto"/>
        <w:rPr>
          <w:sz w:val="20"/>
          <w:szCs w:val="20"/>
          <w:color w:val="auto"/>
        </w:rPr>
      </w:pPr>
      <w:r>
        <w:rPr>
          <w:rFonts w:ascii="Times New Roman" w:cs="Times New Roman" w:eastAsia="Times New Roman" w:hAnsi="Times New Roman"/>
          <w:sz w:val="18"/>
          <w:szCs w:val="18"/>
          <w:color w:val="auto"/>
        </w:rPr>
        <w:t>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Department of Labor (DOL) also issued a proposed rule in January 2026 that would mandate specific PBM fee disclosures to self-insured plan fiduciaries under the Employment Retirement Income Security Act. If finalized as proposed, the DOL rule would also allow plan fiduciaries to audit those PBM disclosures to confirm accuracy. Additional proposals and legislative changes aimed at PBMs and their business practices are likely to continue to be introduced and considered in Congress and by executive agencies. Significant efforts to change the PBM industry as it currently exists in theUnited States may affect the entire pharmaceutical supply chain and the business of other stakeholders, including 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w:t>
      </w:r>
    </w:p>
    <w:p>
      <w:pPr>
        <w:spacing w:after="0" w:line="8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In the European Union and the United Kingdom, similar political, economic and regulatory developments may affect our ability to profitably commercialize any of our product candidates, if approved. In addition to continuing pressure on prices and cost containment measures, legislative developments in the United Kingdom or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member states and the United Kingdom have resulted in restrictions on the pricing and reimbursement of medicines by relevant health service providers. Coupled with increasing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84"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including prescription pharmaceuticals.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 party to litigation that arises in the ordinary course of our business. We do not have any pending litigation that, separately or in the aggregate, would, in the opinion of management, have a material adverse effect on our results of operations, financial condition or cash flows.</w:t>
      </w:r>
    </w:p>
    <w:p>
      <w:pPr>
        <w:spacing w:after="0" w:line="200" w:lineRule="exact"/>
        <w:rPr>
          <w:sz w:val="20"/>
          <w:szCs w:val="20"/>
          <w:color w:val="auto"/>
        </w:rPr>
      </w:pP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tab/>
        <w:t>Organizational Structure</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our subsidiaries: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undertaking</w:t>
            </w:r>
          </w:p>
        </w:tc>
        <w:tc>
          <w:tcPr>
            <w:tcW w:w="180" w:type="dxa"/>
            <w:vAlign w:val="bottom"/>
          </w:tcPr>
          <w:p>
            <w:pPr>
              <w:spacing w:after="0"/>
              <w:rPr>
                <w:sz w:val="13"/>
                <w:szCs w:val="13"/>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8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0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NuCana, Inc.</w:t>
            </w:r>
          </w:p>
        </w:tc>
        <w:tc>
          <w:tcPr>
            <w:tcW w:w="1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Biotechnology Research and Development</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NuCana Limited</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Ireland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Research and Development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NuCana BioMed Trustee Company Limited</w:t>
            </w:r>
          </w:p>
        </w:tc>
        <w:tc>
          <w:tcPr>
            <w:tcW w:w="1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Scotland</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 Trust</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48"/>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4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32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200" w:type="dxa"/>
            <w:vAlign w:val="bottom"/>
            <w:gridSpan w:val="2"/>
          </w:tcPr>
          <w:p>
            <w:pPr>
              <w:spacing w:after="0"/>
              <w:rPr>
                <w:sz w:val="16"/>
                <w:szCs w:val="16"/>
                <w:color w:val="auto"/>
              </w:rPr>
            </w:pPr>
          </w:p>
        </w:tc>
        <w:tc>
          <w:tcPr>
            <w:tcW w:w="1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Lease Expiry</w:t>
            </w:r>
          </w:p>
        </w:tc>
      </w:tr>
      <w:tr>
        <w:trPr>
          <w:trHeight w:val="203"/>
        </w:trPr>
        <w:tc>
          <w:tcPr>
            <w:tcW w:w="390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Executive office</w:t>
            </w:r>
          </w:p>
        </w:tc>
        <w:tc>
          <w:tcPr>
            <w:tcW w:w="140" w:type="dxa"/>
            <w:vAlign w:val="bottom"/>
            <w:tcBorders>
              <w:top w:val="single" w:sz="8" w:color="CFF0FC"/>
            </w:tcBorders>
            <w:shd w:val="clear" w:color="auto" w:fill="CFF0FC"/>
          </w:tcPr>
          <w:p>
            <w:pPr>
              <w:spacing w:after="0"/>
              <w:rPr>
                <w:sz w:val="17"/>
                <w:szCs w:val="17"/>
                <w:color w:val="auto"/>
              </w:rPr>
            </w:pPr>
          </w:p>
        </w:tc>
        <w:tc>
          <w:tcPr>
            <w:tcW w:w="320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Edinburgh, United Kingdom</w:t>
            </w:r>
          </w:p>
        </w:tc>
        <w:tc>
          <w:tcPr>
            <w:tcW w:w="2000" w:type="dxa"/>
            <w:vAlign w:val="bottom"/>
            <w:tcBorders>
              <w:top w:val="single" w:sz="8" w:color="CFF0FC"/>
            </w:tcBorders>
            <w:gridSpan w:val="3"/>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3,900</w:t>
            </w:r>
          </w:p>
        </w:tc>
        <w:tc>
          <w:tcPr>
            <w:tcW w:w="10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CFF0FC"/>
            </w:tcBorders>
            <w:shd w:val="clear" w:color="auto" w:fill="CFF0FC"/>
          </w:tcPr>
          <w:p>
            <w:pPr>
              <w:ind w:left="700"/>
              <w:spacing w:after="0" w:line="203" w:lineRule="exact"/>
              <w:rPr>
                <w:sz w:val="20"/>
                <w:szCs w:val="20"/>
                <w:color w:val="auto"/>
              </w:rPr>
            </w:pPr>
            <w:r>
              <w:rPr>
                <w:rFonts w:ascii="Times New Roman" w:cs="Times New Roman" w:eastAsia="Times New Roman" w:hAnsi="Times New Roman"/>
                <w:sz w:val="18"/>
                <w:szCs w:val="18"/>
                <w:color w:val="auto"/>
                <w:w w:val="98"/>
              </w:rPr>
              <w:t>August 14, 2037</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our property is leased. We believe that our office facilities are sufficient to meet our current needs.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financial condition and operating results together with the information in “Selected Consolidated Financial Data” and our consolidated financial statements and the related notes to those statements included elsewhere in this Annual Report. We present our consolidated financial statements in pounds sterling and in accordance with IFRS, as issued by the IASB, which may differ in material respects from generally accepted accounting principles in other jurisdictions, including generally accepted accounting principles in the United States, or U.S. GAAP.</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statements in this discussion regarding industry outlook, our expectations regarding our future performance, liquidity and capital resources and other non-historical statements are forward-looking statements. These forward-looking statements are subject to numerous risks and uncertainties, including the risks and uncertainties described in the section titled “Risk Factors.” Our actual results may differ materially from those contained in or implied by any forward-looking statements.</w:t>
      </w:r>
    </w:p>
    <w:p>
      <w:pPr>
        <w:spacing w:after="0" w:line="284"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200" w:firstLine="508"/>
        <w:spacing w:after="0" w:line="266" w:lineRule="auto"/>
        <w:rPr>
          <w:sz w:val="20"/>
          <w:szCs w:val="20"/>
          <w:color w:val="auto"/>
        </w:rPr>
      </w:pPr>
      <w:r>
        <w:rPr>
          <w:rFonts w:ascii="Times New Roman" w:cs="Times New Roman" w:eastAsia="Times New Roman" w:hAnsi="Times New Roman"/>
          <w:sz w:val="18"/>
          <w:szCs w:val="18"/>
          <w:color w:val="auto"/>
        </w:rPr>
        <w:t>We do not have any approved products. Accordingly, we have not generated any revenue, and we do not expect to generate any revenue from the sale of any products unless and until we obtain regulatory approvals for, and commercialize any of, our product candidates. In the future, we will seek to generate revenue primarily from product sales and, potentially, regional or global collaborations with strategic partners.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expenses and administrative expenses. Personnel costs, including salaries, benefits, bonuses and share-based payment expense, comprise a component of each of these expense categories. We allocate expenses associated with personnel costs based on the function performed by the respective employees.</w:t>
      </w:r>
    </w:p>
    <w:p>
      <w:pPr>
        <w:spacing w:after="0" w:line="172"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color w:val="auto"/>
        </w:rPr>
        <w:t>. The largest component of our total operating expenses since inception has been costs related to our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development activities, including the preclinical and clinical development of our product candidates.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 Our research and development expense primarily consists of:</w:t>
      </w:r>
    </w:p>
    <w:p>
      <w:pPr>
        <w:spacing w:after="0" w:line="117" w:lineRule="exact"/>
        <w:rPr>
          <w:sz w:val="20"/>
          <w:szCs w:val="20"/>
          <w:color w:val="auto"/>
        </w:rPr>
      </w:pPr>
    </w:p>
    <w:p>
      <w:pPr>
        <w:ind w:left="1020" w:right="2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contract research organizations, or CROs, and investigative sites that conduct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active pharmaceutical ingredients and drug products for preclinical studies and clinical trials;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personnel-related costs, including bonuses, benefits and any share-based payment expense, for our personnel performing research and development activities or managing those activities that have been out-sourced;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 parties who support our product candidate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maintaining and defending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in seeking regulatory approval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our license agreements.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08" w:name="page109"/>
    <w:bookmarkEnd w:id="108"/>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ProTides is highly uncertain. Product candidates in later stages of clinical development generally have higher development costs than those in earlier stages of clinical development, primarily due to the increased size and duration of later-stage clinical trials. However, we do not believe that it is possible at this time to accurately project total program specific expenses through commercialization. We are also unable to predict when, if ever, material net cash inflows will commence from our product candidates to offset these expenses. Our expenditures on current and future preclinical and clinical development programs are subject to numerous uncertainties in timing and cost to completion.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including:</w:t>
      </w:r>
    </w:p>
    <w:p>
      <w:pPr>
        <w:spacing w:after="0" w:line="117" w:lineRule="exact"/>
        <w:rPr>
          <w:sz w:val="20"/>
          <w:szCs w:val="20"/>
          <w:color w:val="auto"/>
        </w:rPr>
      </w:pPr>
    </w:p>
    <w:p>
      <w:pPr>
        <w:ind w:left="1020" w:right="26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expenses of our ongoing and future clinical trials, preclinical studies and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additional clinical trials or preclinical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uncertainties in clinical trial enrollment rates or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drug development companies in, and the related expense of, identifying and enrolling patients in our clinical trials and contracting with third-party manufacturers for the production of the drug product needed for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requiring payments under in-licensing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patent claims and other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any of our product candidates, if approved.</w:t>
      </w:r>
    </w:p>
    <w:p>
      <w:pPr>
        <w:spacing w:after="0" w:line="22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track research and development expenses on a program-by-program basis for both clinical-stage and preclinical product candidates. Where appropriate, manufacturing and nonclinical research and development expenses are assigned or allocated to individual product candidates.</w:t>
      </w:r>
    </w:p>
    <w:p>
      <w:pPr>
        <w:spacing w:after="0" w:line="158" w:lineRule="exact"/>
        <w:rPr>
          <w:sz w:val="20"/>
          <w:szCs w:val="20"/>
          <w:color w:val="auto"/>
        </w:rPr>
      </w:pPr>
    </w:p>
    <w:p>
      <w:pPr>
        <w:ind w:right="2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Administrative Expenses</w:t>
      </w:r>
      <w:r>
        <w:rPr>
          <w:rFonts w:ascii="Times New Roman" w:cs="Times New Roman" w:eastAsia="Times New Roman" w:hAnsi="Times New Roman"/>
          <w:sz w:val="18"/>
          <w:szCs w:val="18"/>
          <w:color w:val="auto"/>
        </w:rPr>
        <w:t>. Administrative expenses consist of personnel costs, depreciation, amortization and other expenses for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including legal, audit and accounting services. Personnel costs consist of salaries, bonuses, benefits and share-based payment expense. Other administrative expenses include office-related costs, professional fees and costs of our information systems. We also incur expenses as a public company, including expenses related to compliance with the rules and regulations of the SEC and Nasdaq, additional insurance expenses, and expenses related to investor relations and other administrative and professional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Other income represents income unrelated to ordinary business activities and therefore does not meet the definition of revenue. Other income consists of ADR depository contributions and insurance proceeds.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Gains (Losses)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foreign exchange gains (losses) primarily relates to cash held in U.S. dollars.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Finance income relates to interest earned on our cash and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Finance expense relates to fair value revaluation losses from derivative financial instruments.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corporate taxation in the United Kingdom and our wholly owned U.S. subsidiary, NuCana, Inc., is subject to corporate taxation in the United States. Due to the nature of our business, we have generated losses in the United Kingdom since our inception. Our income tax credit recognized represents the sum of the research and development tax credits recoverable in the United Kingdom and in the United States, and income tax payable in the United States.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activities, we benefit from the U.K. and U.S. research and development tax credit regimes. In the United Kingdom, we are able to surrender some of our losses for a cash rebate of up to 26.97% of eligible expenditures on qualifying research and development projects incurred on or after April 1, 2023 (33.35% prior to April 1, 2023). In the United States, we are able to offset the research and development credits against corporation tax payable. Our qualifying expenditures in the United Kingdom largely comprise clinical trial and manufacturing costs, employment costs for relevant staff and consumables incurred as part of research and development projects. In the United Kingdom, where we receive the larger proportion of the research and development credits, certain subcontracted qualifying research and development expenditures are eligible for a cash rebate of up to 17.53% from April 1, 2023 (21.68% prior to April 1, 2023). A large proportion of costs relating to our research and development, clinical trials and manufacturing activities are eligible for inclusion within these tax credit cash rebate claims. However, for accounting periods beginning on or after April 1, 2024, research and development expenditure on overseas subcontractors is no longer eligible unless certain criteria are met. Overseas subcontractor expenditure is now only eligible when there are conditions present overseas which are not present in the United Kingdom and it would be ‘wholly unreasonable’ to replicate those conditions within the United Kingdom</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claim research and development tax credits in the United Kingdom in the future under the current research and development tax credit scheme because we may no longer qualify as a R&amp;D-intensive loss-making small or medium-sized company. However, in that scenario, we may be able to file under the merged scheme R&amp;D expenditure credit.</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Unsurrendered tax losses are carried forward to be offset against future taxable profits. After accounting for tax credits receivable, we had accumulated tax losses for carry forward in the United Kingdom of £120.7 million as of December 31, 2025. There were also temporary differences on share-based compensation arrangements of £0.2 million. No deferred tax asset is recognized in respect of accumulated tax losses or temporary differences on share-based compensation arrangements because future profits are not sufficiently certain.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event we generate revenues in the future, we may benefit from the “patent box” initiative that allows profits attributable to revenues from patents or patented products to be taxed at a lower rate than other revenue. The effective rate of tax for relevant streams of revenue for companies receiving this relief is currently 10%.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2024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2024 and 2025.</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(12,737)</w:t>
            </w:r>
          </w:p>
        </w:tc>
        <w:tc>
          <w:tcPr>
            <w:tcW w:w="36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tcPr>
          <w:p>
            <w:pPr>
              <w:spacing w:after="0"/>
              <w:rPr>
                <w:sz w:val="18"/>
                <w:szCs w:val="18"/>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(8,096)</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(losses) gains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(20,110)</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(12,648)</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260" w:type="dxa"/>
            <w:vAlign w:val="bottom"/>
          </w:tcPr>
          <w:p>
            <w:pPr>
              <w:spacing w:after="0"/>
              <w:rPr>
                <w:sz w:val="18"/>
                <w:szCs w:val="18"/>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(30,521)</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260" w:type="dxa"/>
            <w:vAlign w:val="bottom"/>
          </w:tcPr>
          <w:p>
            <w:pPr>
              <w:spacing w:after="0"/>
              <w:rPr>
                <w:sz w:val="18"/>
                <w:szCs w:val="18"/>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(29,353)</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(expense) income: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Items that may be reclassified subsequently to</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jc w:val="center"/>
              <w:ind w:right="3830"/>
              <w:spacing w:after="0"/>
              <w:rPr>
                <w:sz w:val="20"/>
                <w:szCs w:val="20"/>
                <w:color w:val="auto"/>
              </w:rPr>
            </w:pPr>
            <w:r>
              <w:rPr>
                <w:rFonts w:ascii="Times New Roman" w:cs="Times New Roman" w:eastAsia="Times New Roman" w:hAnsi="Times New Roman"/>
                <w:sz w:val="18"/>
                <w:szCs w:val="18"/>
                <w:color w:val="auto"/>
              </w:rPr>
              <w:t>profit or loss: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 of foreign</w:t>
            </w:r>
          </w:p>
        </w:tc>
        <w:tc>
          <w:tcPr>
            <w:tcW w:w="26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00" w:type="dxa"/>
            <w:vAlign w:val="bottom"/>
            <w:shd w:val="clear" w:color="auto" w:fill="CFF0FC"/>
          </w:tcPr>
          <w:p>
            <w:pPr>
              <w:jc w:val="center"/>
              <w:ind w:right="385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(29,414)</w:t>
            </w:r>
          </w:p>
        </w:tc>
        <w:tc>
          <w:tcPr>
            <w:tcW w:w="3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-1833880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-1833880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-1276985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-1276985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-993775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80" w:firstLine="50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£12.7 million for the year ended December 31, 2025 as compared to £18.0 million for the year ended December 31,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year ended December 31, 2025:</w:t>
      </w:r>
    </w:p>
    <w:p>
      <w:pPr>
        <w:spacing w:after="0" w:line="117" w:lineRule="exact"/>
        <w:rPr>
          <w:sz w:val="20"/>
          <w:szCs w:val="20"/>
          <w:color w:val="auto"/>
        </w:rPr>
      </w:pPr>
    </w:p>
    <w:p>
      <w:pPr>
        <w:ind w:left="1780" w:right="860" w:hanging="515"/>
        <w:spacing w:after="0" w:line="282" w:lineRule="auto"/>
        <w:tabs>
          <w:tab w:leader="none" w:pos="1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decreased by £11.1 million due to reduced expenditure across most clinical trials, predominantly NuTide:323, partially offset by increased expenditure on NuTide:701;</w:t>
      </w:r>
    </w:p>
    <w:p>
      <w:pPr>
        <w:spacing w:after="0" w:line="53" w:lineRule="exact"/>
        <w:rPr>
          <w:rFonts w:ascii="Times New Roman" w:cs="Times New Roman" w:eastAsia="Times New Roman" w:hAnsi="Times New Roman"/>
          <w:sz w:val="18"/>
          <w:szCs w:val="18"/>
          <w:color w:val="auto"/>
        </w:rPr>
      </w:pPr>
    </w:p>
    <w:p>
      <w:pPr>
        <w:ind w:left="1780" w:right="200" w:hanging="515"/>
        <w:spacing w:after="0" w:line="282" w:lineRule="auto"/>
        <w:tabs>
          <w:tab w:leader="none" w:pos="1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increased by £5.9 million primarily due to the number of options granted in the second quarter of 2025 following the dilutive impact of the registered direct offering completed in May 2025; and</w:t>
      </w:r>
    </w:p>
    <w:p>
      <w:pPr>
        <w:spacing w:after="0" w:line="53" w:lineRule="exact"/>
        <w:rPr>
          <w:rFonts w:ascii="Times New Roman" w:cs="Times New Roman" w:eastAsia="Times New Roman" w:hAnsi="Times New Roman"/>
          <w:sz w:val="18"/>
          <w:szCs w:val="18"/>
          <w:color w:val="auto"/>
        </w:rPr>
      </w:pPr>
    </w:p>
    <w:p>
      <w:pPr>
        <w:ind w:left="1780" w:right="680" w:hanging="515"/>
        <w:spacing w:after="0" w:line="282" w:lineRule="auto"/>
        <w:tabs>
          <w:tab w:leader="none" w:pos="1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costs decreased by £0.1 million principally due to lower personnel costs, offset by higher manufacturing costs.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gives a breakdown of the research and development costs incurred by product for the years ended December 31,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40" w:type="dxa"/>
            <w:vAlign w:val="bottom"/>
            <w:gridSpan w:val="6"/>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17"/>
        </w:trPr>
        <w:tc>
          <w:tcPr>
            <w:tcW w:w="17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3"/>
          </w:tcPr>
          <w:p>
            <w:pPr>
              <w:jc w:val="center"/>
              <w:ind w:left="399"/>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3"/>
        </w:trPr>
        <w:tc>
          <w:tcPr>
            <w:tcW w:w="1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6"/>
        </w:trPr>
        <w:tc>
          <w:tcPr>
            <w:tcW w:w="170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NUC-7738</w:t>
            </w:r>
          </w:p>
        </w:tc>
        <w:tc>
          <w:tcPr>
            <w:tcW w:w="3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NUC-3373</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Acelarin</w:t>
            </w:r>
          </w:p>
        </w:tc>
        <w:tc>
          <w:tcPr>
            <w:tcW w:w="3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9"/>
        </w:trPr>
        <w:tc>
          <w:tcPr>
            <w:tcW w:w="170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3040" w:type="dxa"/>
            <w:vAlign w:val="bottom"/>
            <w:tcBorders>
              <w:top w:val="single" w:sz="8" w:color="CFF0FC"/>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76"/>
        </w:trPr>
        <w:tc>
          <w:tcPr>
            <w:tcW w:w="1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-942340</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-925195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-942340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-925195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Administrative expenses were £8.1 million for the year ended December 31, 2025 as compared to £5.0 million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year ended December 31, 2025:</w:t>
      </w:r>
    </w:p>
    <w:p>
      <w:pPr>
        <w:spacing w:after="0" w:line="117" w:lineRule="exact"/>
        <w:rPr>
          <w:sz w:val="20"/>
          <w:szCs w:val="20"/>
          <w:color w:val="auto"/>
        </w:rPr>
      </w:pPr>
    </w:p>
    <w:p>
      <w:pPr>
        <w:ind w:left="1780" w:right="80" w:hanging="515"/>
        <w:spacing w:after="0" w:line="282" w:lineRule="auto"/>
        <w:tabs>
          <w:tab w:leader="none" w:pos="1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expenses increased by £2.5 million primarily due to the number of options granted in the second quarter of 2025 following the dilutive impact of the registered direct offering completed in May 2025;</w:t>
      </w:r>
    </w:p>
    <w:p>
      <w:pPr>
        <w:spacing w:after="0" w:line="53" w:lineRule="exact"/>
        <w:rPr>
          <w:rFonts w:ascii="Times New Roman" w:cs="Times New Roman" w:eastAsia="Times New Roman" w:hAnsi="Times New Roman"/>
          <w:sz w:val="18"/>
          <w:szCs w:val="18"/>
          <w:color w:val="auto"/>
        </w:rPr>
      </w:pPr>
    </w:p>
    <w:p>
      <w:pPr>
        <w:ind w:left="1780" w:right="180" w:hanging="515"/>
        <w:spacing w:after="0" w:line="282" w:lineRule="auto"/>
        <w:tabs>
          <w:tab w:leader="none" w:pos="1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related to the issue of warrants were £1.4 million, with no corresponding cost in the year ended December 31, 2024; and</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administrative expenses decreased by £0.8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totaled £2.7 million for the year ended December 31, 2025 as compared to £nil for the year ended December 31,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year ended December 31, 2025:</w:t>
      </w:r>
    </w:p>
    <w:p>
      <w:pPr>
        <w:spacing w:after="0" w:line="117" w:lineRule="exact"/>
        <w:rPr>
          <w:sz w:val="20"/>
          <w:szCs w:val="20"/>
          <w:color w:val="auto"/>
        </w:rPr>
      </w:pPr>
    </w:p>
    <w:p>
      <w:pPr>
        <w:ind w:left="1780" w:hanging="515"/>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off insurance proceeds of £0.8 million were received; and</w:t>
      </w:r>
    </w:p>
    <w:p>
      <w:pPr>
        <w:spacing w:after="0" w:line="117" w:lineRule="exact"/>
        <w:rPr>
          <w:rFonts w:ascii="Times New Roman" w:cs="Times New Roman" w:eastAsia="Times New Roman" w:hAnsi="Times New Roman"/>
          <w:sz w:val="18"/>
          <w:szCs w:val="18"/>
          <w:color w:val="auto"/>
        </w:rPr>
      </w:pPr>
    </w:p>
    <w:p>
      <w:pPr>
        <w:ind w:left="1780" w:right="560" w:hanging="515"/>
        <w:spacing w:after="0" w:line="282" w:lineRule="auto"/>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 depositary contributions of £1.9 million were received from the ADR depositary in relation to the ADS ratio change completed in August 2025, with no corresponding income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(Losses) Gains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reported a net foreign exchange loss of £0.1 million as compared to a net foreign exchange gain of £0.2 million for the year ended December 31, 2024. In 2025, the loss primarily reflected the depreciation of the U.S. dollar against the U.K. pound sterling. In contrast, in 2024, the gain arose from the appreciation of the U.S. dollar relative to the U.K. pound sterling.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Finance income represents bank interest and was £0.4 million for the year ended December 31, 2025 and £0.4 million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Finance expense relates to fair value revaluation losses from derivative financial instruments being remeasured at fair value through profit or loss and was £12.6 million for the year ended December 31, 2025, with no such expense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income tax credit, which is largely comprised of research and development tax credits, amounted to £1.2 million for the year ended December 31, 2025 and £3.5 million for the year ended December 31, 2024. The decrease in the income tax credit was primarily attributable to a decrease in our eligible research and development expenses.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2023 and 2024</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discussion of our operating results for the year ended December 31, 2024 compared to the year ended December 31, 2023, is omitted from this report and may be found in Item 5 of our Annual Report on Form 20-F for the year ended December 31, 2024, filed with the SEC on March 20, 2025.</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38" w:right="459" w:bottom="1440" w:gutter="0" w:footer="0" w:header="0"/>
        </w:sectPr>
      </w:pPr>
    </w:p>
    <w:bookmarkStart w:id="112" w:name="page113"/>
    <w:bookmarkEnd w:id="112"/>
    <w:p>
      <w:pPr>
        <w:ind w:left="380" w:hanging="372"/>
        <w:spacing w:after="0"/>
        <w:tabs>
          <w:tab w:leader="none" w:pos="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negative operating cash flows. We anticipate that we will continue to incur losses for at least the next several years. As a result, we will need additional capital to fund our operations, which we may obtain from additional equity financings, debt financings, research funding, collaborations, contract and grant revenue or other sources.</w:t>
      </w:r>
    </w:p>
    <w:p>
      <w:pPr>
        <w:spacing w:after="0" w:line="5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we had cash and cash equivalents of £24.3 million and £6.7 million, respectively. We do not currently have any approved products and have never generated any revenue from product sales. To date we have financed our operations primarily through the issuances of our equity securities. We expect that our existing cash and cash equivalents will be sufficient to meet our anticipated cash requirements into 2029. However, we may need to raise additional funds if we choose to expand our current development program.</w:t>
      </w:r>
    </w:p>
    <w:p>
      <w:pPr>
        <w:spacing w:after="0" w:line="4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June 2025, we entered into an ATM sales agreement with A.G.P./Alliance Global Partners, or A.G.P., and Laidlaw &amp; Company (UK) Ltd., or Laidlaw, pursuant to which we may periodically sell ADSs having an aggregate offering price of up to $100.0 million through A.G.P. and Laidlaw acting as our agents. Sales of our ADSs pursuant to this ATM program are subject to certain conditions specified in the sales agreement. In connection with entering into the agreement with A.G.P. and Laidlaw, we terminated the ATM sales agreement from August 2021 between us and Jefferies LLC, or Jefferies. Sales under the ATM program are registered on a shelf registration statement on Form F-3 that we filed with the SEC in June 2025, and which permits the offering, issuance and sale by us of up to a maximum aggregate offering price of $150.0 million of our securities, inclusive of our ADSs sold under the ATM program. During the year ended December 31, 2025 we sold and issued 394,303 ADSs, representing 9,857,575 ordinary shares, under the ATM program with Jefferies, raising gross proceeds of £0.5 million, and we sold and issued 450,758,552 ADSs, representing 11,268,963,800 ordinary shares, under the ATM program with A.G.P. and Laidlaw, raising gross proceeds of £19.0 million.</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cash flows for the years ended December 31, 2024 and 2025.</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(7,467)</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£7.5 million for the year ended December 31, 2025 as compared to £19.1 million for the year ended December 31, 2024, a net decrease in cash outflows of £11.6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year ended December 31, 2025:</w:t>
      </w:r>
    </w:p>
    <w:p>
      <w:pPr>
        <w:spacing w:after="0" w:line="117"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cash outflows were lower by £13.1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outflows were £3.7 million as compared to £2.2 million in the year ended December 31,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508"/>
        <w:spacing w:after="0" w:line="282" w:lineRule="auto"/>
        <w:rPr>
          <w:sz w:val="20"/>
          <w:szCs w:val="20"/>
          <w:color w:val="auto"/>
        </w:rPr>
      </w:pPr>
      <w:r>
        <w:rPr>
          <w:rFonts w:ascii="Times New Roman" w:cs="Times New Roman" w:eastAsia="Times New Roman" w:hAnsi="Times New Roman"/>
          <w:sz w:val="18"/>
          <w:szCs w:val="18"/>
          <w:color w:val="auto"/>
        </w:rPr>
        <w:t>Net cash from investing activities was £0.2 million for the year ended December 31, 2025 as compared to £0.1 million for the year ended December 31,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year ended December 31, 2025, cash used to acquire intangible assets was lower by £0.1 million.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80" w:firstLine="508"/>
        <w:spacing w:after="0" w:line="282" w:lineRule="auto"/>
        <w:rPr>
          <w:sz w:val="20"/>
          <w:szCs w:val="20"/>
          <w:color w:val="auto"/>
        </w:rPr>
      </w:pPr>
      <w:r>
        <w:rPr>
          <w:rFonts w:ascii="Times New Roman" w:cs="Times New Roman" w:eastAsia="Times New Roman" w:hAnsi="Times New Roman"/>
          <w:sz w:val="18"/>
          <w:szCs w:val="18"/>
          <w:color w:val="auto"/>
        </w:rPr>
        <w:t>Net cash from financing activities was £25.0 million for the year ended December 31, 2025 as compared to £8.2 million for the year ended December 31, 2024.</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8"/>
          <w:szCs w:val="18"/>
          <w:color w:val="auto"/>
        </w:rPr>
        <w:t>In the year ended December 31, 2025:</w:t>
      </w:r>
    </w:p>
    <w:p>
      <w:pPr>
        <w:spacing w:after="0" w:line="117"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issue of share capital were higher by £10.4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issue, exercise and cancellation of warrants were £6.2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lease liabilities were lower by £0.2 million.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2023 and 2024</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discussion of our liquidity and capital resources for the year ended December 31, 2024 compared to the year ended December 31, 2023, is omitted from this report and may be found in Item 5 of our Annual Report on Form 20-F for the year ended December 31, 2024, filed with the SEC on March 20,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lease commitments and obligations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Pr>
          <w:p>
            <w:pPr>
              <w:jc w:val="center"/>
              <w:ind w:left="124"/>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305"/>
              <w:spacing w:after="0" w:line="118" w:lineRule="exact"/>
              <w:rPr>
                <w:sz w:val="20"/>
                <w:szCs w:val="20"/>
                <w:color w:val="auto"/>
              </w:rPr>
            </w:pPr>
            <w:r>
              <w:rPr>
                <w:rFonts w:ascii="Times New Roman" w:cs="Times New Roman" w:eastAsia="Times New Roman" w:hAnsi="Times New Roman"/>
                <w:sz w:val="13"/>
                <w:szCs w:val="13"/>
                <w:b w:val="1"/>
                <w:bCs w:val="1"/>
                <w:color w:val="auto"/>
              </w:rPr>
              <w:t>1 - 3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ind w:right="284"/>
              <w:spacing w:after="0" w:line="118" w:lineRule="exact"/>
              <w:rPr>
                <w:sz w:val="20"/>
                <w:szCs w:val="20"/>
                <w:color w:val="auto"/>
              </w:rPr>
            </w:pPr>
            <w:r>
              <w:rPr>
                <w:rFonts w:ascii="Times New Roman" w:cs="Times New Roman" w:eastAsia="Times New Roman" w:hAnsi="Times New Roman"/>
                <w:sz w:val="13"/>
                <w:szCs w:val="13"/>
                <w:b w:val="1"/>
                <w:bCs w:val="1"/>
                <w:color w:val="auto"/>
              </w:rPr>
              <w:t>3 - 5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2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4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3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   £</w:t>
            </w:r>
          </w:p>
        </w:tc>
        <w:tc>
          <w:tcPr>
            <w:tcW w:w="11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   £</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liabilities relate to rental of office space.</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agreed to make milestone payments and pay royalties to third parties under various licensing and related agreements and we have agreed to make payments to CROs and manufacturers under various CRO and manufacturing agreements. We have not included any such contingent payment obligations in the table above as the amount, timing and likelihood of such payments are not fixed or determinable.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achieved profitability on an annual basis since our inception, and we expect to continue to incur net losses in the future.</w:t>
      </w:r>
    </w:p>
    <w:p>
      <w:pPr>
        <w:spacing w:after="0" w:line="14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fund our operations, including currently anticipated research and development activities and planned capital spending, into 2029. We carefully manage our capital resources and have sufficient controllable mitigating actions identified to manage our expenditure, including management of third-party expenses, such as timing of clinical trial activities, and internal resource costs.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However, our future funding requirements will depend on many factors, including but not limited to:</w:t>
      </w:r>
    </w:p>
    <w:p>
      <w:pPr>
        <w:spacing w:after="0" w:line="104"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trials taking place in the near term, preclinical programs and other related activities;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success in our early preclinical and clinical stage research programs, which will determine the amount of funding required to further the development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that we make in developing new product candidates based on our proprietary ProTide technology;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products that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potential patent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our U.K. research and development tax credit cash rebates;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of our ProTide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and distribution capabilities;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ind w:left="372"/>
        <w:spacing w:after="0"/>
        <w:rPr>
          <w:sz w:val="20"/>
          <w:szCs w:val="20"/>
          <w:color w:val="auto"/>
        </w:rPr>
      </w:pPr>
      <w:r>
        <w:rPr>
          <w:rFonts w:ascii="Times New Roman" w:cs="Times New Roman" w:eastAsia="Times New Roman" w:hAnsi="Times New Roman"/>
          <w:sz w:val="18"/>
          <w:szCs w:val="18"/>
          <w:color w:val="auto"/>
        </w:rPr>
        <w:t>•    the costs of hiring additional skilled employees to support our continued growth and the related costs of leasing additional office space.</w:t>
      </w:r>
    </w:p>
    <w:p>
      <w:pPr>
        <w:spacing w:after="0" w:line="234" w:lineRule="exact"/>
        <w:rPr>
          <w:sz w:val="20"/>
          <w:szCs w:val="20"/>
          <w:color w:val="auto"/>
        </w:rPr>
      </w:pPr>
    </w:p>
    <w:p>
      <w:pPr>
        <w:ind w:left="372" w:hanging="372"/>
        <w:spacing w:after="0"/>
        <w:tabs>
          <w:tab w:leader="none" w:pos="372"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21" w:lineRule="exact"/>
        <w:rPr>
          <w:sz w:val="20"/>
          <w:szCs w:val="20"/>
          <w:color w:val="auto"/>
        </w:rPr>
      </w:pPr>
    </w:p>
    <w:p>
      <w:pPr>
        <w:ind w:left="512" w:firstLine="509"/>
        <w:spacing w:after="0" w:line="282" w:lineRule="auto"/>
        <w:rPr>
          <w:sz w:val="20"/>
          <w:szCs w:val="20"/>
          <w:color w:val="auto"/>
        </w:rPr>
      </w:pPr>
      <w:r>
        <w:rPr>
          <w:rFonts w:ascii="Times New Roman" w:cs="Times New Roman" w:eastAsia="Times New Roman" w:hAnsi="Times New Roman"/>
          <w:sz w:val="18"/>
          <w:szCs w:val="18"/>
          <w:color w:val="auto"/>
        </w:rPr>
        <w:t>Full details of our research and development activities and expenditures are given in “Item 4. Information on the Company–B. Business” and “Item 5A. Operating Results” within this Annual Report.</w:t>
      </w:r>
    </w:p>
    <w:p>
      <w:pPr>
        <w:spacing w:after="0" w:line="266" w:lineRule="exact"/>
        <w:rPr>
          <w:sz w:val="20"/>
          <w:szCs w:val="20"/>
          <w:color w:val="auto"/>
        </w:rPr>
      </w:pPr>
    </w:p>
    <w:p>
      <w:pPr>
        <w:ind w:left="372" w:hanging="372"/>
        <w:spacing w:after="0"/>
        <w:tabs>
          <w:tab w:leader="none" w:pos="37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21"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See “Item 5A. Operating Results” within this Annual Report.</w:t>
      </w:r>
    </w:p>
    <w:p>
      <w:pPr>
        <w:spacing w:after="0" w:line="329" w:lineRule="exact"/>
        <w:rPr>
          <w:sz w:val="20"/>
          <w:szCs w:val="20"/>
          <w:color w:val="auto"/>
        </w:rPr>
      </w:pPr>
    </w:p>
    <w:p>
      <w:pPr>
        <w:ind w:left="512" w:right="8480" w:hanging="512"/>
        <w:spacing w:after="0" w:line="412" w:lineRule="auto"/>
        <w:tabs>
          <w:tab w:leader="none" w:pos="37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Reserved]</w:t>
      </w:r>
    </w:p>
    <w:p>
      <w:pPr>
        <w:spacing w:after="0" w:line="333"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33" w:lineRule="exact"/>
        <w:rPr>
          <w:rFonts w:ascii="Times New Roman" w:cs="Times New Roman" w:eastAsia="Times New Roman" w:hAnsi="Times New Roman"/>
          <w:sz w:val="18"/>
          <w:szCs w:val="18"/>
          <w:b w:val="1"/>
          <w:bCs w:val="1"/>
          <w:color w:val="auto"/>
        </w:rPr>
      </w:pPr>
    </w:p>
    <w:p>
      <w:pPr>
        <w:ind w:left="512" w:right="8380" w:hanging="512"/>
        <w:spacing w:after="0" w:line="412" w:lineRule="auto"/>
        <w:tabs>
          <w:tab w:leader="none" w:pos="363"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493395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01"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March 1,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0"/>
                <w:szCs w:val="20"/>
                <w:color w:val="auto"/>
              </w:rPr>
            </w:pPr>
          </w:p>
        </w:tc>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20" w:type="dxa"/>
            <w:vAlign w:val="bottom"/>
            <w:shd w:val="clear" w:color="auto" w:fill="CFF0FC"/>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Hugh Griffith</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Jeffrey Bloss</w:t>
            </w:r>
          </w:p>
        </w:tc>
        <w:tc>
          <w:tcPr>
            <w:tcW w:w="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FF0FC"/>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Harrison</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Head of Translational Medicine</w:t>
            </w: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Ian Webster</w:t>
            </w:r>
          </w:p>
        </w:tc>
        <w:tc>
          <w:tcPr>
            <w:tcW w:w="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Theresa Bruce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Non-Executive Directors</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20" w:type="dxa"/>
            <w:vAlign w:val="bottom"/>
            <w:shd w:val="clear" w:color="auto" w:fill="CFF0FC"/>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Kay</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 and Chairman</w:t>
            </w: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Martin Mellish</w:t>
            </w:r>
          </w:p>
        </w:tc>
        <w:tc>
          <w:tcPr>
            <w:tcW w:w="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Cyrille Leperlier</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Elliott Levy</w:t>
            </w:r>
          </w:p>
        </w:tc>
        <w:tc>
          <w:tcPr>
            <w:tcW w:w="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18"/>
                <w:szCs w:val="18"/>
                <w:color w:val="auto"/>
              </w:rPr>
            </w:pPr>
          </w:p>
        </w:tc>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Hugh Griffith </w:t>
      </w:r>
      <w:r>
        <w:rPr>
          <w:rFonts w:ascii="Times New Roman" w:cs="Times New Roman" w:eastAsia="Times New Roman" w:hAnsi="Times New Roman"/>
          <w:sz w:val="18"/>
          <w:szCs w:val="18"/>
          <w:color w:val="auto"/>
        </w:rPr>
        <w:t>is our co-founder and has served as our Chief Executive Officer and as a member of our board of directors since our operations began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March 2008. Mr. Griffith previously served as a non-executive director of MedAnnex Limited from 2010 to 2024, Thirty Holdings Limited from 2018 to 2023 and EdixoMed Limited from 2011 to 2023, when it was acquired by Convatec Group. Prior to founding NuCana, Mr. Griffith was Chief Operating Officer of Bioenvision, Inc., a biopharmaceutical company, from July 2004 until December 2007, when it was acquired by Genzyme Corporation (now Sanofi). He previously served as Commercial Director of Bioenvision, Inc. from September 2002 to June 2004. Before that, Mr. Griffith held several senior commercial positions at Quantanova Limited, a biopharmaceutical company, from January 2002 to July 2002, Abbot Laboratories (now AbbVie Inc.) from October 1995 to December 2001 and Warner-Lambert Company (now Pfizer Inc.) from April 1992 to October 1995. He currently serves on the advisory board of the Scottish Lifesciences Association. In 2018, Mr. Griffith received a lifetime achievement award for ‘Outstanding Contribution to Life Sciences’ by the Scottish Government. Mr. Griffith is a named inventor on over 398 patents and over 300 pending patent applications. He received an M.B.A. from Cardiff Business School and a B.Sc. Honours in Biology from the University of Stirling. We believe that Mr. Griffith possesses specific attributes that qualify him to serve as a member of our board of directors, including the perspective and experience he brings as our Chief Executive Officer, which provides historic knowledge of our company, operational expertise and continuity to our board of directors, and his significant experience in the biopharmaceutical industry in positions including chief executive officer, chief operating officer and executive director.</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Bloss, M.D. </w:t>
      </w:r>
      <w:r>
        <w:rPr>
          <w:rFonts w:ascii="Times New Roman" w:cs="Times New Roman" w:eastAsia="Times New Roman" w:hAnsi="Times New Roman"/>
          <w:sz w:val="18"/>
          <w:szCs w:val="18"/>
          <w:color w:val="auto"/>
        </w:rPr>
        <w:t>has served as our Chief Medical Officer since August 2021. In addition, he has over 20 years of leadership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oncology at multiple pharmaceutical/biopharmaceutical companies including Eli Lilly, Genentech, Xencor, GSK, Astellas, and Aegerion. Immediately prior to joining NuCana, Dr. Bloss served as Chief Medical Officer of Tarveda Therapeutics a venture-backed clinical stage oncology company from August 2018 to August 2021. Prior to Tarveda, Dr. Bloss was Chief Medical Officer and Senior Vice President, Medical Affairs at Aegerion Pharmaceuticals from June 2017 to August 2018. Dr. Bloss completed his Residency in Obstetrics &amp; Gynecology at Wilford Hall USAF Medical Center and his Fellowship in Gynecologic Oncology at the University of California, Irvine. Dr. Bloss received his M.D. from Thomas Jefferson University Medical College and B.S. from Juniata College.</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Harrison, M.D. </w:t>
      </w:r>
      <w:r>
        <w:rPr>
          <w:rFonts w:ascii="Times New Roman" w:cs="Times New Roman" w:eastAsia="Times New Roman" w:hAnsi="Times New Roman"/>
          <w:sz w:val="18"/>
          <w:szCs w:val="18"/>
          <w:color w:val="auto"/>
        </w:rPr>
        <w:t>has served as our Head of Translational Medicine since December 2017. Dr. Harrison is also professor of Pathology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of St. Andrews since May 2012, honorary professor at The University of Edinburgh, and an adjunct professor at the University of Florida since 2003. He also oversees ethics relating to use of human tissue at Lothian NHS University Hospitals in Edinburgh where he is an honorary consultant pathologist. Dr. Harrison has served as Chair of the U.K. Government advisory Committee on Committee Carcinogenicity since May 2015, and he is a member of the Committee on Mutagenicity. From February 2019 to May 2023, Dr. Harrison established and directed iCAIRD, a government and industry funded initiative to facilitate research and development applying artificial intelligence in digital diagnostics and Dr. Harrison previously served as a director of Benenox Limited from April 2014 to May 2025. Further, Dr. Harrison is a non-executive director at ILC Therapeutics Limited. Dr. Harrison is a Fellow of the Royal College of Pathologists, London, Royal College of Physicians of Edinburgh, and Royal College of Surgeons of Edinburgh. He received his medical and M.D. doctoral training at the University of Edinburgh.</w:t>
      </w:r>
    </w:p>
    <w:p>
      <w:pPr>
        <w:spacing w:after="0" w:line="80"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Ian Webster </w:t>
      </w:r>
      <w:r>
        <w:rPr>
          <w:rFonts w:ascii="Times New Roman" w:cs="Times New Roman" w:eastAsia="Times New Roman" w:hAnsi="Times New Roman"/>
          <w:sz w:val="18"/>
          <w:szCs w:val="18"/>
          <w:color w:val="auto"/>
        </w:rPr>
        <w:t>has served as our Interim Chief Financial Officer since June 2025 and previously served as our Director of Finance since 2019.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Webster has over 20 years of experience in finance, including over 10 years in senior positions within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18"/>
          <w:szCs w:val="18"/>
          <w:color w:val="auto"/>
        </w:rPr>
        <w:t>the biopharmaceutical sector. Mr. Webster’s finance experience spans financial management, listed company reporting, audit, tax, M&amp;A, and financial planning and analysis. Prior to joining us in 2019, he served as Group Financial Controller at Kyowa Kirin International plc, a specialty pharmaceutical company from 2013 to 2019. Mr. Webster was a senior manager at PricewaterhouseCoopers LLP, a global accounting firm, from 2002 to 2013 working in both the audit and transaction services practices in the U.K. and Canada. Mr. Webster is a chartered accountant (Institute of Chartered Accountants of Scotland) and received a BSc (Hons) in Accounting and Finance from the University of Warwick.</w:t>
      </w:r>
    </w:p>
    <w:p>
      <w:pPr>
        <w:spacing w:after="0" w:line="7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Theresa Bruce </w:t>
      </w:r>
      <w:r>
        <w:rPr>
          <w:rFonts w:ascii="Times New Roman" w:cs="Times New Roman" w:eastAsia="Times New Roman" w:hAnsi="Times New Roman"/>
          <w:sz w:val="18"/>
          <w:szCs w:val="18"/>
          <w:color w:val="auto"/>
        </w:rPr>
        <w:t>has served as our Chief Operating Officer since January 2026 and previously served as our Senior Vice President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since 2018. Ms. Bruce has over 25 years of experience in oncology research and development where she has led teams in all aspects of clinical planning and delivery across oncology, hematology, and endocrinology therapeutic areas. Ms. Bruce was formerly the Chief Operating Officer at Nexus Oncology, and Ms. Bruce has held executive positions in both clinical research organizations and biotechnology companies, including SVP Clinical Operations at Chiltern, Veristat, and more recently at NuCana. Prior to joining us, Ms. Bruce worked as an independent consultant to U.S. biotech companies where she was responsible for expanding clinical trial portfolios outside of North America. Ms. Bruce holds an M.B.A. from Glasgow Caledonian University where she focused in Executive Leadership and Strategic Management, and is a Member of the Chartered Management Institute.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Kay </w:t>
      </w:r>
      <w:r>
        <w:rPr>
          <w:rFonts w:ascii="Times New Roman" w:cs="Times New Roman" w:eastAsia="Times New Roman" w:hAnsi="Times New Roman"/>
          <w:sz w:val="18"/>
          <w:szCs w:val="18"/>
          <w:color w:val="auto"/>
        </w:rPr>
        <w:t>has served as Chairman of our board of directors since December 2020 and served as Executive Chairman of our board from June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December 2025. Mr. Kay has served as Chairman of the Board of NeRRe Therapeutics since September 2017, as Chairman of WalkSafe Chaperhome Limited since March 2021, as Chairman and director of Amulet Consulting since 2014, and as Chairman of AdvanCell Brisbane since October 2025. Mr. Kay served as Chairman of the Board of Blueberry Therapeutics from August 2015 to October 2023. From January 2019 to September 2020, he held the same role for KaNDy Therapeutics, a biotechnology company that was acquired by Bayer. From September 2015 to June 2018, Mr. Kay served as Chairman of the Board of Wilson Therapeutics, a biopharmaceutical company acquired by Alexion Pharmaceuticals in 2018. Prior to that, Mr. Kay served as the President and Chief Executive Officer for Algeta from January 2009 to May 2014. Prior to Algeta, Mr. Kay was the Global Head of Marketing and Sales and a Member of the Healthcare Committee and Pharmaceutical Executive Committee at Novartis 1999 to 2003, and held several other senior commercial positions in Europe and the United States having worked at Renovo, AstraZeneca, Eli Lilly, Sandoz and Boots. Mr. Kay earned his Bachelor of Honors in Pharmacy from Nottingham University. We believe Mr. Kay possesses specific attributes that qualify him to serve as a member of our board of directors, including his extensive experience with biotechnology and pharmaceutical companies.</w:t>
      </w:r>
    </w:p>
    <w:p>
      <w:pPr>
        <w:spacing w:after="0" w:line="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Mellish </w:t>
      </w:r>
      <w:r>
        <w:rPr>
          <w:rFonts w:ascii="Times New Roman" w:cs="Times New Roman" w:eastAsia="Times New Roman" w:hAnsi="Times New Roman"/>
          <w:sz w:val="18"/>
          <w:szCs w:val="18"/>
          <w:color w:val="auto"/>
        </w:rPr>
        <w:t>has served as a member of our board of directors since December 2009. Mr. Mellish also serves as a non-executive director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Audit Committee of Pearl Diver Credit Company Inc. (NYSE: PDCC) since July 2024, as a non-executive director, member of the Audit Committee and Chairman of the Remuneration Committee of Spectral AI (NASDAQ: MDAI; formerly London AIM: SMD) a company developing a medical Artificial Intelligence technology for the evaluation of acute burn wounds, and as Chairman of the Audit Committee of Levitronix Technologies Inc., a technology company, handling high-purity fluids for the semiconductor and life science industries. Further, Mr. Mellish also serves as a director of Kensington Green Management Ltd., Alturki Holding, and Saudi Readymix Concrete Company. Mr. Mellish serves as founding director and Chairman of Aspen Advisory Services Ltd., a London-based private office responsible for the administration of investments in North America, Europe and Asia since 1994. Mr. Mellish holds an M.Sc. from the Master of Health Care Delivery Science program at Dartmouth’s Geisel School of Medicine and Tuck School of Business; an SM (Management) from the Massachusetts Institute of Technology and an M.Sc. (Accounting) from Northeastern University. We believe that Mr. Mellish possesses specific attributes that qualify him to serve as a member of our board of directors, including his significant experience in accounting and finance.</w:t>
      </w:r>
    </w:p>
    <w:p>
      <w:pPr>
        <w:spacing w:after="0" w:line="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Cyrille Leperlier, M.D. </w:t>
      </w:r>
      <w:r>
        <w:rPr>
          <w:rFonts w:ascii="Times New Roman" w:cs="Times New Roman" w:eastAsia="Times New Roman" w:hAnsi="Times New Roman"/>
          <w:sz w:val="18"/>
          <w:szCs w:val="18"/>
          <w:color w:val="auto"/>
        </w:rPr>
        <w:t>has served as a member of our board of directors since May 2018. He brings over 40 years of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and biotechnology industry to our board of directors. Dr. Leperlier also served as the Chief Executive Officer of Divlal SAS from June 2020 to November 2022. From 2009 to 2019, Dr. Leperlier also served as Vice President of Medical Assessment for Corporate Strategy for Sanofi’s Corporate Business Development and M&amp;A Group, where, among other transactions, he was deeply involved in Sanofi’s acquisition of Genzyme. Prior to this role, Dr. Leperlier served at Sanofi as Medical Director in Japan from 2007 to 2009 and Head of Medical Affairs, International Region from 2004 to 2007. Before joining Sanofi, Dr. Leperlier was Medical Director and Global Head of Clinical Development at Rhone Poulenc Rorer and previously worked for Takeda in a variety of operational and medical affairs roles. Dr. Leperlier received an M.D. from the University of Paris, Saint-Antoine School of Medicine and a Master in Human Biology (major in physiology) from the Medical University of Paris. He is a recognized expert in oncology drug development, strategic portfolio prioritization, and business development, with extensive leadership experience at a number of global biotechnology and pharmaceutical companies. We believe that Dr. Leperlier possesses specific attributes that qualify him to serve as a member of our board of directors, including his experience in global drug development and marketing.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Elliott Levy, M.D. </w:t>
      </w:r>
      <w:r>
        <w:rPr>
          <w:rFonts w:ascii="Times New Roman" w:cs="Times New Roman" w:eastAsia="Times New Roman" w:hAnsi="Times New Roman"/>
          <w:sz w:val="18"/>
          <w:szCs w:val="18"/>
          <w:color w:val="auto"/>
        </w:rPr>
        <w:t>has served as a member of our board of directors since November 2021. Dr. Levy has served as a Senior Advisor at Boston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Group since May 2021 and as a Venture Partner at 5AM Ventures since April 2022. Dr. Levy was Senior Vice President of Research &amp; Development, Strategy and Operations of Amgen Inc., a biotechnology firm from June 2020 to May 2021. Prior to June 2020, Dr. Levy was also Senior Vice President of Global Development at Amgen Inc. Dr. Levy has served as the Head of Intrepid Alliance, Inc., a non-profit whose objective is to facilitate the development of small molecule therapeutics for future pandemic agents, and as a director and Board Chair of Transcelerate Biopharma, Inc, a non-profit focused on improving and accelerating the development of new therapeutics. Further, Dr. Levy currently serves as a director of Omega Therapeutics, Editas Medicines (NASDAQ: EDIT) and Kinaset Therapeutics. Dr. Levy has 24 years’ experience in the clinical development and regulatory approval of investigational medicines in the biopharmaceutical industry. Dr. Levy holds an M.D. from the Yale School of Medicine and a B.A. in History from Yale College. We believe that Dr. Levy possesses specific attributes that qualify him to serve as a member of our board of directors, including extensive experience in clinical development and regulatory approval of investigational medicines in the biopharmaceutical industry.</w:t>
      </w:r>
    </w:p>
    <w:p>
      <w:pPr>
        <w:spacing w:after="0" w:line="185"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provides the amount of compensation paid, and benefits in kind granted, by us and our subsidiaries to our directors and members of management for services in all capacities to us and our subsidiaries for the year ended December 31, 2025, as well as the amount contributed by us or our subsidiaries into money purchase plans for the year ended December 31, 2025 to provide pension, retirement or similar benefits to, our directors and members of the executive management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Compensation</w:t>
      </w:r>
    </w:p>
    <w:p>
      <w:pPr>
        <w:spacing w:after="0" w:line="121" w:lineRule="exact"/>
        <w:rPr>
          <w:sz w:val="20"/>
          <w:szCs w:val="20"/>
          <w:color w:val="auto"/>
        </w:rPr>
      </w:pPr>
    </w:p>
    <w:p>
      <w:pPr>
        <w:ind w:firstLine="47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table below sets forth the compensation paid to our directors, and, in the case of Mr. Griffith, reflects the compensation paid for services as our Chief Executive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Directors’ Compensation (1)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Salary/Fees</w:t>
            </w: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Pension (2)</w:t>
            </w: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Benefit (3)</w:t>
            </w:r>
          </w:p>
        </w:tc>
        <w:tc>
          <w:tcPr>
            <w:tcW w:w="200" w:type="dxa"/>
            <w:vAlign w:val="bottom"/>
          </w:tcPr>
          <w:p>
            <w:pPr>
              <w:spacing w:after="0"/>
              <w:rPr>
                <w:sz w:val="20"/>
                <w:szCs w:val="20"/>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3880" w:type="dxa"/>
            <w:vAlign w:val="bottom"/>
            <w:shd w:val="clear" w:color="auto" w:fill="B6DDE8"/>
          </w:tcPr>
          <w:p>
            <w:pPr>
              <w:ind w:left="20"/>
              <w:spacing w:after="0" w:line="195" w:lineRule="exact"/>
              <w:rPr>
                <w:sz w:val="20"/>
                <w:szCs w:val="20"/>
                <w:color w:val="auto"/>
              </w:rPr>
            </w:pPr>
            <w:r>
              <w:rPr>
                <w:rFonts w:ascii="Times New Roman" w:cs="Times New Roman" w:eastAsia="Times New Roman" w:hAnsi="Times New Roman"/>
                <w:sz w:val="18"/>
                <w:szCs w:val="18"/>
                <w:color w:val="auto"/>
              </w:rPr>
              <w:t>Hugh Griffith</w:t>
            </w:r>
          </w:p>
        </w:tc>
        <w:tc>
          <w:tcPr>
            <w:tcW w:w="200" w:type="dxa"/>
            <w:vAlign w:val="bottom"/>
            <w:shd w:val="clear" w:color="auto" w:fill="B6DDE8"/>
          </w:tcPr>
          <w:p>
            <w:pPr>
              <w:spacing w:after="0"/>
              <w:rPr>
                <w:sz w:val="17"/>
                <w:szCs w:val="17"/>
                <w:color w:val="auto"/>
              </w:rPr>
            </w:pPr>
          </w:p>
        </w:tc>
        <w:tc>
          <w:tcPr>
            <w:tcW w:w="1700" w:type="dxa"/>
            <w:vAlign w:val="bottom"/>
            <w:shd w:val="clear" w:color="auto" w:fill="B6DDE8"/>
          </w:tcPr>
          <w:p>
            <w:pPr>
              <w:spacing w:after="0"/>
              <w:rPr>
                <w:sz w:val="17"/>
                <w:szCs w:val="17"/>
                <w:color w:val="auto"/>
              </w:rPr>
            </w:pPr>
          </w:p>
        </w:tc>
        <w:tc>
          <w:tcPr>
            <w:tcW w:w="300" w:type="dxa"/>
            <w:vAlign w:val="bottom"/>
            <w:shd w:val="clear" w:color="auto" w:fill="B6DDE8"/>
          </w:tcPr>
          <w:p>
            <w:pPr>
              <w:spacing w:after="0"/>
              <w:rPr>
                <w:sz w:val="17"/>
                <w:szCs w:val="17"/>
                <w:color w:val="auto"/>
              </w:rPr>
            </w:pPr>
          </w:p>
        </w:tc>
        <w:tc>
          <w:tcPr>
            <w:tcW w:w="1060" w:type="dxa"/>
            <w:vAlign w:val="bottom"/>
            <w:shd w:val="clear" w:color="auto" w:fill="B6DDE8"/>
          </w:tcPr>
          <w:p>
            <w:pPr>
              <w:spacing w:after="0"/>
              <w:rPr>
                <w:sz w:val="17"/>
                <w:szCs w:val="17"/>
                <w:color w:val="auto"/>
              </w:rPr>
            </w:pPr>
          </w:p>
        </w:tc>
        <w:tc>
          <w:tcPr>
            <w:tcW w:w="180" w:type="dxa"/>
            <w:vAlign w:val="bottom"/>
            <w:shd w:val="clear" w:color="auto" w:fill="B6DDE8"/>
          </w:tcPr>
          <w:p>
            <w:pPr>
              <w:spacing w:after="0"/>
              <w:rPr>
                <w:sz w:val="17"/>
                <w:szCs w:val="17"/>
                <w:color w:val="auto"/>
              </w:rPr>
            </w:pPr>
          </w:p>
        </w:tc>
        <w:tc>
          <w:tcPr>
            <w:tcW w:w="1360" w:type="dxa"/>
            <w:vAlign w:val="bottom"/>
            <w:shd w:val="clear" w:color="auto" w:fill="B6DDE8"/>
          </w:tcPr>
          <w:p>
            <w:pPr>
              <w:spacing w:after="0"/>
              <w:rPr>
                <w:sz w:val="17"/>
                <w:szCs w:val="17"/>
                <w:color w:val="auto"/>
              </w:rPr>
            </w:pPr>
          </w:p>
        </w:tc>
        <w:tc>
          <w:tcPr>
            <w:tcW w:w="300" w:type="dxa"/>
            <w:vAlign w:val="bottom"/>
            <w:shd w:val="clear" w:color="auto" w:fill="B6DDE8"/>
          </w:tcPr>
          <w:p>
            <w:pPr>
              <w:spacing w:after="0"/>
              <w:rPr>
                <w:sz w:val="17"/>
                <w:szCs w:val="17"/>
                <w:color w:val="auto"/>
              </w:rPr>
            </w:pPr>
          </w:p>
        </w:tc>
        <w:tc>
          <w:tcPr>
            <w:tcW w:w="1040" w:type="dxa"/>
            <w:vAlign w:val="bottom"/>
            <w:shd w:val="clear" w:color="auto" w:fill="B6DDE8"/>
          </w:tcPr>
          <w:p>
            <w:pPr>
              <w:spacing w:after="0"/>
              <w:rPr>
                <w:sz w:val="17"/>
                <w:szCs w:val="17"/>
                <w:color w:val="auto"/>
              </w:rPr>
            </w:pPr>
          </w:p>
        </w:tc>
        <w:tc>
          <w:tcPr>
            <w:tcW w:w="200" w:type="dxa"/>
            <w:vAlign w:val="bottom"/>
            <w:shd w:val="clear" w:color="auto" w:fill="B6DDE8"/>
          </w:tcPr>
          <w:p>
            <w:pPr>
              <w:spacing w:after="0"/>
              <w:rPr>
                <w:sz w:val="17"/>
                <w:szCs w:val="17"/>
                <w:color w:val="auto"/>
              </w:rPr>
            </w:pPr>
          </w:p>
        </w:tc>
        <w:tc>
          <w:tcPr>
            <w:tcW w:w="1020" w:type="dxa"/>
            <w:vAlign w:val="bottom"/>
            <w:shd w:val="clear" w:color="auto" w:fill="B6DD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B6DDE8"/>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Director</w:t>
            </w:r>
          </w:p>
        </w:tc>
        <w:tc>
          <w:tcPr>
            <w:tcW w:w="1900" w:type="dxa"/>
            <w:vAlign w:val="bottom"/>
            <w:gridSpan w:val="2"/>
            <w:shd w:val="clear" w:color="auto" w:fill="B6DDE8"/>
          </w:tcPr>
          <w:p>
            <w:pPr>
              <w:jc w:val="center"/>
              <w:ind w:left="110"/>
              <w:spacing w:after="0"/>
              <w:rPr>
                <w:sz w:val="20"/>
                <w:szCs w:val="20"/>
                <w:color w:val="auto"/>
              </w:rPr>
            </w:pPr>
            <w:r>
              <w:rPr>
                <w:rFonts w:ascii="Times New Roman" w:cs="Times New Roman" w:eastAsia="Times New Roman" w:hAnsi="Times New Roman"/>
                <w:sz w:val="18"/>
                <w:szCs w:val="18"/>
                <w:color w:val="auto"/>
                <w:w w:val="99"/>
              </w:rPr>
              <w:t>596,636</w:t>
            </w:r>
          </w:p>
        </w:tc>
        <w:tc>
          <w:tcPr>
            <w:tcW w:w="1360" w:type="dxa"/>
            <w:vAlign w:val="bottom"/>
            <w:gridSpan w:val="2"/>
            <w:shd w:val="clear" w:color="auto" w:fill="B6DDE8"/>
          </w:tcPr>
          <w:p>
            <w:pPr>
              <w:jc w:val="center"/>
              <w:ind w:left="210"/>
              <w:spacing w:after="0"/>
              <w:rPr>
                <w:sz w:val="20"/>
                <w:szCs w:val="20"/>
                <w:color w:val="auto"/>
              </w:rPr>
            </w:pPr>
            <w:r>
              <w:rPr>
                <w:rFonts w:ascii="Times New Roman" w:cs="Times New Roman" w:eastAsia="Times New Roman" w:hAnsi="Times New Roman"/>
                <w:sz w:val="18"/>
                <w:szCs w:val="18"/>
                <w:color w:val="auto"/>
                <w:w w:val="99"/>
              </w:rPr>
              <w:t>429,578</w:t>
            </w:r>
          </w:p>
        </w:tc>
        <w:tc>
          <w:tcPr>
            <w:tcW w:w="1540" w:type="dxa"/>
            <w:vAlign w:val="bottom"/>
            <w:gridSpan w:val="2"/>
            <w:shd w:val="clear" w:color="auto" w:fill="B6DDE8"/>
          </w:tcPr>
          <w:p>
            <w:pPr>
              <w:jc w:val="center"/>
              <w:ind w:left="90"/>
              <w:spacing w:after="0"/>
              <w:rPr>
                <w:sz w:val="20"/>
                <w:szCs w:val="20"/>
                <w:color w:val="auto"/>
              </w:rPr>
            </w:pPr>
            <w:r>
              <w:rPr>
                <w:rFonts w:ascii="Times New Roman" w:cs="Times New Roman" w:eastAsia="Times New Roman" w:hAnsi="Times New Roman"/>
                <w:sz w:val="18"/>
                <w:szCs w:val="18"/>
                <w:color w:val="auto"/>
                <w:w w:val="98"/>
              </w:rPr>
              <w:t>5,348</w:t>
            </w:r>
          </w:p>
        </w:tc>
        <w:tc>
          <w:tcPr>
            <w:tcW w:w="1340" w:type="dxa"/>
            <w:vAlign w:val="bottom"/>
            <w:gridSpan w:val="2"/>
            <w:shd w:val="clear" w:color="auto" w:fill="B6DDE8"/>
          </w:tcPr>
          <w:p>
            <w:pPr>
              <w:jc w:val="center"/>
              <w:ind w:left="210"/>
              <w:spacing w:after="0"/>
              <w:rPr>
                <w:sz w:val="20"/>
                <w:szCs w:val="20"/>
                <w:color w:val="auto"/>
              </w:rPr>
            </w:pPr>
            <w:r>
              <w:rPr>
                <w:rFonts w:ascii="Times New Roman" w:cs="Times New Roman" w:eastAsia="Times New Roman" w:hAnsi="Times New Roman"/>
                <w:sz w:val="18"/>
                <w:szCs w:val="18"/>
                <w:color w:val="auto"/>
                <w:w w:val="96"/>
              </w:rPr>
              <w:t>59,664</w:t>
            </w:r>
          </w:p>
        </w:tc>
        <w:tc>
          <w:tcPr>
            <w:tcW w:w="1220" w:type="dxa"/>
            <w:vAlign w:val="bottom"/>
            <w:gridSpan w:val="2"/>
            <w:shd w:val="clear" w:color="auto" w:fill="B6DDE8"/>
          </w:tcPr>
          <w:p>
            <w:pPr>
              <w:jc w:val="center"/>
              <w:ind w:left="90"/>
              <w:spacing w:after="0"/>
              <w:rPr>
                <w:sz w:val="20"/>
                <w:szCs w:val="20"/>
                <w:color w:val="auto"/>
              </w:rPr>
            </w:pPr>
            <w:r>
              <w:rPr>
                <w:rFonts w:ascii="Times New Roman" w:cs="Times New Roman" w:eastAsia="Times New Roman" w:hAnsi="Times New Roman"/>
                <w:sz w:val="18"/>
                <w:szCs w:val="18"/>
                <w:color w:val="auto"/>
                <w:w w:val="99"/>
              </w:rPr>
              <w:t>1,091,226</w:t>
            </w:r>
          </w:p>
        </w:tc>
        <w:tc>
          <w:tcPr>
            <w:tcW w:w="0" w:type="dxa"/>
            <w:vAlign w:val="bottom"/>
          </w:tcPr>
          <w:p>
            <w:pPr>
              <w:spacing w:after="0"/>
              <w:rPr>
                <w:sz w:val="1"/>
                <w:szCs w:val="1"/>
                <w:color w:val="auto"/>
              </w:rPr>
            </w:pPr>
          </w:p>
        </w:tc>
      </w:tr>
      <w:tr>
        <w:trPr>
          <w:trHeight w:val="236"/>
        </w:trPr>
        <w:tc>
          <w:tcPr>
            <w:tcW w:w="3880" w:type="dxa"/>
            <w:vAlign w:val="bottom"/>
            <w:shd w:val="clear" w:color="auto" w:fill="B6DDE8"/>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00" w:type="dxa"/>
            <w:vAlign w:val="bottom"/>
            <w:shd w:val="clear" w:color="auto" w:fill="B6DDE8"/>
          </w:tcPr>
          <w:p>
            <w:pPr>
              <w:spacing w:after="0"/>
              <w:rPr>
                <w:sz w:val="20"/>
                <w:szCs w:val="20"/>
                <w:color w:val="auto"/>
              </w:rPr>
            </w:pPr>
          </w:p>
        </w:tc>
        <w:tc>
          <w:tcPr>
            <w:tcW w:w="1700" w:type="dxa"/>
            <w:vAlign w:val="bottom"/>
            <w:shd w:val="clear" w:color="auto" w:fill="B6DDE8"/>
          </w:tcPr>
          <w:p>
            <w:pPr>
              <w:spacing w:after="0"/>
              <w:rPr>
                <w:sz w:val="20"/>
                <w:szCs w:val="20"/>
                <w:color w:val="auto"/>
              </w:rPr>
            </w:pPr>
          </w:p>
        </w:tc>
        <w:tc>
          <w:tcPr>
            <w:tcW w:w="300" w:type="dxa"/>
            <w:vAlign w:val="bottom"/>
            <w:shd w:val="clear" w:color="auto" w:fill="B6DDE8"/>
          </w:tcPr>
          <w:p>
            <w:pPr>
              <w:spacing w:after="0"/>
              <w:rPr>
                <w:sz w:val="20"/>
                <w:szCs w:val="20"/>
                <w:color w:val="auto"/>
              </w:rPr>
            </w:pPr>
          </w:p>
        </w:tc>
        <w:tc>
          <w:tcPr>
            <w:tcW w:w="1060" w:type="dxa"/>
            <w:vAlign w:val="bottom"/>
            <w:shd w:val="clear" w:color="auto" w:fill="B6DDE8"/>
          </w:tcPr>
          <w:p>
            <w:pPr>
              <w:spacing w:after="0"/>
              <w:rPr>
                <w:sz w:val="20"/>
                <w:szCs w:val="20"/>
                <w:color w:val="auto"/>
              </w:rPr>
            </w:pPr>
          </w:p>
        </w:tc>
        <w:tc>
          <w:tcPr>
            <w:tcW w:w="180" w:type="dxa"/>
            <w:vAlign w:val="bottom"/>
            <w:shd w:val="clear" w:color="auto" w:fill="B6DDE8"/>
          </w:tcPr>
          <w:p>
            <w:pPr>
              <w:spacing w:after="0"/>
              <w:rPr>
                <w:sz w:val="20"/>
                <w:szCs w:val="20"/>
                <w:color w:val="auto"/>
              </w:rPr>
            </w:pPr>
          </w:p>
        </w:tc>
        <w:tc>
          <w:tcPr>
            <w:tcW w:w="1360" w:type="dxa"/>
            <w:vAlign w:val="bottom"/>
            <w:shd w:val="clear" w:color="auto" w:fill="B6DDE8"/>
          </w:tcPr>
          <w:p>
            <w:pPr>
              <w:spacing w:after="0"/>
              <w:rPr>
                <w:sz w:val="20"/>
                <w:szCs w:val="20"/>
                <w:color w:val="auto"/>
              </w:rPr>
            </w:pPr>
          </w:p>
        </w:tc>
        <w:tc>
          <w:tcPr>
            <w:tcW w:w="300" w:type="dxa"/>
            <w:vAlign w:val="bottom"/>
            <w:shd w:val="clear" w:color="auto" w:fill="B6DDE8"/>
          </w:tcPr>
          <w:p>
            <w:pPr>
              <w:spacing w:after="0"/>
              <w:rPr>
                <w:sz w:val="20"/>
                <w:szCs w:val="20"/>
                <w:color w:val="auto"/>
              </w:rPr>
            </w:pPr>
          </w:p>
        </w:tc>
        <w:tc>
          <w:tcPr>
            <w:tcW w:w="1040" w:type="dxa"/>
            <w:vAlign w:val="bottom"/>
            <w:shd w:val="clear" w:color="auto" w:fill="B6DDE8"/>
          </w:tcPr>
          <w:p>
            <w:pPr>
              <w:spacing w:after="0"/>
              <w:rPr>
                <w:sz w:val="20"/>
                <w:szCs w:val="20"/>
                <w:color w:val="auto"/>
              </w:rPr>
            </w:pPr>
          </w:p>
        </w:tc>
        <w:tc>
          <w:tcPr>
            <w:tcW w:w="200" w:type="dxa"/>
            <w:vAlign w:val="bottom"/>
            <w:shd w:val="clear" w:color="auto" w:fill="B6DDE8"/>
          </w:tcPr>
          <w:p>
            <w:pPr>
              <w:spacing w:after="0"/>
              <w:rPr>
                <w:sz w:val="20"/>
                <w:szCs w:val="20"/>
                <w:color w:val="auto"/>
              </w:rPr>
            </w:pPr>
          </w:p>
        </w:tc>
        <w:tc>
          <w:tcPr>
            <w:tcW w:w="1020" w:type="dxa"/>
            <w:vAlign w:val="bottom"/>
            <w:shd w:val="clear" w:color="auto" w:fill="B6DDE8"/>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Andrew Kay</w:t>
            </w:r>
          </w:p>
        </w:tc>
        <w:tc>
          <w:tcPr>
            <w:tcW w:w="19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73,785</w:t>
            </w:r>
          </w:p>
        </w:tc>
        <w:tc>
          <w:tcPr>
            <w:tcW w:w="30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73,785</w:t>
            </w:r>
          </w:p>
        </w:tc>
        <w:tc>
          <w:tcPr>
            <w:tcW w:w="0" w:type="dxa"/>
            <w:vAlign w:val="bottom"/>
          </w:tcPr>
          <w:p>
            <w:pPr>
              <w:spacing w:after="0"/>
              <w:rPr>
                <w:sz w:val="1"/>
                <w:szCs w:val="1"/>
                <w:color w:val="auto"/>
              </w:rPr>
            </w:pPr>
          </w:p>
        </w:tc>
      </w:tr>
      <w:tr>
        <w:trPr>
          <w:trHeight w:val="128"/>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Non-Executive Director</w:t>
            </w:r>
          </w:p>
        </w:tc>
        <w:tc>
          <w:tcPr>
            <w:tcW w:w="19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B6DDE8"/>
          </w:tcPr>
          <w:p>
            <w:pPr>
              <w:ind w:left="20"/>
              <w:spacing w:after="0" w:line="195" w:lineRule="exact"/>
              <w:rPr>
                <w:sz w:val="20"/>
                <w:szCs w:val="20"/>
                <w:color w:val="auto"/>
              </w:rPr>
            </w:pPr>
            <w:r>
              <w:rPr>
                <w:rFonts w:ascii="Times New Roman" w:cs="Times New Roman" w:eastAsia="Times New Roman" w:hAnsi="Times New Roman"/>
                <w:sz w:val="18"/>
                <w:szCs w:val="18"/>
                <w:color w:val="auto"/>
              </w:rPr>
              <w:t>Adam George (4)</w:t>
            </w:r>
          </w:p>
        </w:tc>
        <w:tc>
          <w:tcPr>
            <w:tcW w:w="1900" w:type="dxa"/>
            <w:vAlign w:val="bottom"/>
            <w:gridSpan w:val="2"/>
            <w:vMerge w:val="restart"/>
            <w:shd w:val="clear" w:color="auto" w:fill="B6DDE8"/>
          </w:tcPr>
          <w:p>
            <w:pPr>
              <w:jc w:val="center"/>
              <w:ind w:left="110"/>
              <w:spacing w:after="0"/>
              <w:rPr>
                <w:sz w:val="20"/>
                <w:szCs w:val="20"/>
                <w:color w:val="auto"/>
              </w:rPr>
            </w:pPr>
            <w:r>
              <w:rPr>
                <w:rFonts w:ascii="Times New Roman" w:cs="Times New Roman" w:eastAsia="Times New Roman" w:hAnsi="Times New Roman"/>
                <w:sz w:val="18"/>
                <w:szCs w:val="18"/>
                <w:color w:val="auto"/>
              </w:rPr>
              <w:t>17,091</w:t>
            </w:r>
          </w:p>
        </w:tc>
        <w:tc>
          <w:tcPr>
            <w:tcW w:w="300" w:type="dxa"/>
            <w:vAlign w:val="bottom"/>
            <w:shd w:val="clear" w:color="auto" w:fill="B6DDE8"/>
          </w:tcPr>
          <w:p>
            <w:pPr>
              <w:spacing w:after="0"/>
              <w:rPr>
                <w:sz w:val="17"/>
                <w:szCs w:val="17"/>
                <w:color w:val="auto"/>
              </w:rPr>
            </w:pPr>
          </w:p>
        </w:tc>
        <w:tc>
          <w:tcPr>
            <w:tcW w:w="106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B6DDE8"/>
          </w:tcPr>
          <w:p>
            <w:pPr>
              <w:spacing w:after="0"/>
              <w:rPr>
                <w:sz w:val="17"/>
                <w:szCs w:val="17"/>
                <w:color w:val="auto"/>
              </w:rPr>
            </w:pPr>
          </w:p>
        </w:tc>
        <w:tc>
          <w:tcPr>
            <w:tcW w:w="136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B6DDE8"/>
          </w:tcPr>
          <w:p>
            <w:pPr>
              <w:spacing w:after="0"/>
              <w:rPr>
                <w:sz w:val="17"/>
                <w:szCs w:val="17"/>
                <w:color w:val="auto"/>
              </w:rPr>
            </w:pPr>
          </w:p>
        </w:tc>
        <w:tc>
          <w:tcPr>
            <w:tcW w:w="104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vMerge w:val="restart"/>
            <w:shd w:val="clear" w:color="auto" w:fill="B6DDE8"/>
          </w:tcPr>
          <w:p>
            <w:pPr>
              <w:jc w:val="center"/>
              <w:ind w:left="110"/>
              <w:spacing w:after="0"/>
              <w:rPr>
                <w:sz w:val="20"/>
                <w:szCs w:val="20"/>
                <w:color w:val="auto"/>
              </w:rPr>
            </w:pPr>
            <w:r>
              <w:rPr>
                <w:rFonts w:ascii="Times New Roman" w:cs="Times New Roman" w:eastAsia="Times New Roman" w:hAnsi="Times New Roman"/>
                <w:sz w:val="18"/>
                <w:szCs w:val="18"/>
                <w:color w:val="auto"/>
              </w:rPr>
              <w:t>17,091</w:t>
            </w:r>
          </w:p>
        </w:tc>
        <w:tc>
          <w:tcPr>
            <w:tcW w:w="0" w:type="dxa"/>
            <w:vAlign w:val="bottom"/>
          </w:tcPr>
          <w:p>
            <w:pPr>
              <w:spacing w:after="0"/>
              <w:rPr>
                <w:sz w:val="1"/>
                <w:szCs w:val="1"/>
                <w:color w:val="auto"/>
              </w:rPr>
            </w:pPr>
          </w:p>
        </w:tc>
      </w:tr>
      <w:tr>
        <w:trPr>
          <w:trHeight w:val="128"/>
        </w:trPr>
        <w:tc>
          <w:tcPr>
            <w:tcW w:w="3880" w:type="dxa"/>
            <w:vAlign w:val="bottom"/>
            <w:vMerge w:val="restart"/>
            <w:shd w:val="clear" w:color="auto" w:fill="B6DDE8"/>
          </w:tcPr>
          <w:p>
            <w:pPr>
              <w:ind w:left="20"/>
              <w:spacing w:after="0"/>
              <w:rPr>
                <w:sz w:val="20"/>
                <w:szCs w:val="20"/>
                <w:color w:val="auto"/>
              </w:rPr>
            </w:pPr>
            <w:r>
              <w:rPr>
                <w:rFonts w:ascii="Times New Roman" w:cs="Times New Roman" w:eastAsia="Times New Roman" w:hAnsi="Times New Roman"/>
                <w:sz w:val="18"/>
                <w:szCs w:val="18"/>
                <w:i w:val="1"/>
                <w:iCs w:val="1"/>
                <w:color w:val="auto"/>
              </w:rPr>
              <w:t>Former Non-Executive Director</w:t>
            </w:r>
          </w:p>
        </w:tc>
        <w:tc>
          <w:tcPr>
            <w:tcW w:w="1900" w:type="dxa"/>
            <w:vAlign w:val="bottom"/>
            <w:gridSpan w:val="2"/>
            <w:vMerge w:val="continue"/>
            <w:shd w:val="clear" w:color="auto" w:fill="B6DDE8"/>
          </w:tcPr>
          <w:p>
            <w:pPr>
              <w:spacing w:after="0"/>
              <w:rPr>
                <w:sz w:val="11"/>
                <w:szCs w:val="11"/>
                <w:color w:val="auto"/>
              </w:rPr>
            </w:pPr>
          </w:p>
        </w:tc>
        <w:tc>
          <w:tcPr>
            <w:tcW w:w="300" w:type="dxa"/>
            <w:vAlign w:val="bottom"/>
            <w:shd w:val="clear" w:color="auto" w:fill="B6DDE8"/>
          </w:tcPr>
          <w:p>
            <w:pPr>
              <w:spacing w:after="0"/>
              <w:rPr>
                <w:sz w:val="11"/>
                <w:szCs w:val="11"/>
                <w:color w:val="auto"/>
              </w:rPr>
            </w:pPr>
          </w:p>
        </w:tc>
        <w:tc>
          <w:tcPr>
            <w:tcW w:w="1060" w:type="dxa"/>
            <w:vAlign w:val="bottom"/>
            <w:vMerge w:val="continue"/>
            <w:shd w:val="clear" w:color="auto" w:fill="B6DDE8"/>
          </w:tcPr>
          <w:p>
            <w:pPr>
              <w:spacing w:after="0"/>
              <w:rPr>
                <w:sz w:val="11"/>
                <w:szCs w:val="11"/>
                <w:color w:val="auto"/>
              </w:rPr>
            </w:pPr>
          </w:p>
        </w:tc>
        <w:tc>
          <w:tcPr>
            <w:tcW w:w="180" w:type="dxa"/>
            <w:vAlign w:val="bottom"/>
            <w:shd w:val="clear" w:color="auto" w:fill="B6DDE8"/>
          </w:tcPr>
          <w:p>
            <w:pPr>
              <w:spacing w:after="0"/>
              <w:rPr>
                <w:sz w:val="11"/>
                <w:szCs w:val="11"/>
                <w:color w:val="auto"/>
              </w:rPr>
            </w:pPr>
          </w:p>
        </w:tc>
        <w:tc>
          <w:tcPr>
            <w:tcW w:w="1360" w:type="dxa"/>
            <w:vAlign w:val="bottom"/>
            <w:vMerge w:val="continue"/>
            <w:shd w:val="clear" w:color="auto" w:fill="B6DDE8"/>
          </w:tcPr>
          <w:p>
            <w:pPr>
              <w:spacing w:after="0"/>
              <w:rPr>
                <w:sz w:val="11"/>
                <w:szCs w:val="11"/>
                <w:color w:val="auto"/>
              </w:rPr>
            </w:pPr>
          </w:p>
        </w:tc>
        <w:tc>
          <w:tcPr>
            <w:tcW w:w="300" w:type="dxa"/>
            <w:vAlign w:val="bottom"/>
            <w:shd w:val="clear" w:color="auto" w:fill="B6DDE8"/>
          </w:tcPr>
          <w:p>
            <w:pPr>
              <w:spacing w:after="0"/>
              <w:rPr>
                <w:sz w:val="11"/>
                <w:szCs w:val="11"/>
                <w:color w:val="auto"/>
              </w:rPr>
            </w:pPr>
          </w:p>
        </w:tc>
        <w:tc>
          <w:tcPr>
            <w:tcW w:w="1040" w:type="dxa"/>
            <w:vAlign w:val="bottom"/>
            <w:vMerge w:val="continue"/>
            <w:shd w:val="clear" w:color="auto" w:fill="B6DDE8"/>
          </w:tcPr>
          <w:p>
            <w:pPr>
              <w:spacing w:after="0"/>
              <w:rPr>
                <w:sz w:val="11"/>
                <w:szCs w:val="11"/>
                <w:color w:val="auto"/>
              </w:rPr>
            </w:pPr>
          </w:p>
        </w:tc>
        <w:tc>
          <w:tcPr>
            <w:tcW w:w="1220" w:type="dxa"/>
            <w:vAlign w:val="bottom"/>
            <w:gridSpan w:val="2"/>
            <w:vMerge w:val="continue"/>
            <w:shd w:val="clear" w:color="auto" w:fill="B6DDE8"/>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vMerge w:val="continue"/>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70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60" w:type="dxa"/>
            <w:vAlign w:val="bottom"/>
            <w:shd w:val="clear" w:color="auto" w:fill="B6DDE8"/>
          </w:tcPr>
          <w:p>
            <w:pPr>
              <w:spacing w:after="0"/>
              <w:rPr>
                <w:sz w:val="9"/>
                <w:szCs w:val="9"/>
                <w:color w:val="auto"/>
              </w:rPr>
            </w:pPr>
          </w:p>
        </w:tc>
        <w:tc>
          <w:tcPr>
            <w:tcW w:w="180" w:type="dxa"/>
            <w:vAlign w:val="bottom"/>
            <w:shd w:val="clear" w:color="auto" w:fill="B6DDE8"/>
          </w:tcPr>
          <w:p>
            <w:pPr>
              <w:spacing w:after="0"/>
              <w:rPr>
                <w:sz w:val="9"/>
                <w:szCs w:val="9"/>
                <w:color w:val="auto"/>
              </w:rPr>
            </w:pPr>
          </w:p>
        </w:tc>
        <w:tc>
          <w:tcPr>
            <w:tcW w:w="136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40" w:type="dxa"/>
            <w:vAlign w:val="bottom"/>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020" w:type="dxa"/>
            <w:vAlign w:val="bottom"/>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Martin Mellish</w:t>
            </w:r>
          </w:p>
        </w:tc>
        <w:tc>
          <w:tcPr>
            <w:tcW w:w="19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51,566</w:t>
            </w:r>
          </w:p>
        </w:tc>
        <w:tc>
          <w:tcPr>
            <w:tcW w:w="30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51,566</w:t>
            </w:r>
          </w:p>
        </w:tc>
        <w:tc>
          <w:tcPr>
            <w:tcW w:w="0" w:type="dxa"/>
            <w:vAlign w:val="bottom"/>
          </w:tcPr>
          <w:p>
            <w:pPr>
              <w:spacing w:after="0"/>
              <w:rPr>
                <w:sz w:val="1"/>
                <w:szCs w:val="1"/>
                <w:color w:val="auto"/>
              </w:rPr>
            </w:pPr>
          </w:p>
        </w:tc>
      </w:tr>
      <w:tr>
        <w:trPr>
          <w:trHeight w:val="128"/>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Non-Executive Director</w:t>
            </w:r>
          </w:p>
        </w:tc>
        <w:tc>
          <w:tcPr>
            <w:tcW w:w="19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B6DDE8"/>
          </w:tcPr>
          <w:p>
            <w:pPr>
              <w:ind w:left="20"/>
              <w:spacing w:after="0" w:line="195" w:lineRule="exact"/>
              <w:rPr>
                <w:sz w:val="20"/>
                <w:szCs w:val="20"/>
                <w:color w:val="auto"/>
              </w:rPr>
            </w:pPr>
            <w:r>
              <w:rPr>
                <w:rFonts w:ascii="Times New Roman" w:cs="Times New Roman" w:eastAsia="Times New Roman" w:hAnsi="Times New Roman"/>
                <w:sz w:val="18"/>
                <w:szCs w:val="18"/>
                <w:color w:val="auto"/>
              </w:rPr>
              <w:t>Cyrille Leperlier, M.D.</w:t>
            </w:r>
          </w:p>
        </w:tc>
        <w:tc>
          <w:tcPr>
            <w:tcW w:w="1900" w:type="dxa"/>
            <w:vAlign w:val="bottom"/>
            <w:gridSpan w:val="2"/>
            <w:vMerge w:val="restart"/>
            <w:shd w:val="clear" w:color="auto" w:fill="B6DDE8"/>
          </w:tcPr>
          <w:p>
            <w:pPr>
              <w:jc w:val="center"/>
              <w:ind w:left="90"/>
              <w:spacing w:after="0"/>
              <w:rPr>
                <w:sz w:val="20"/>
                <w:szCs w:val="20"/>
                <w:color w:val="auto"/>
              </w:rPr>
            </w:pPr>
            <w:r>
              <w:rPr>
                <w:rFonts w:ascii="Times New Roman" w:cs="Times New Roman" w:eastAsia="Times New Roman" w:hAnsi="Times New Roman"/>
                <w:sz w:val="18"/>
                <w:szCs w:val="18"/>
                <w:color w:val="auto"/>
                <w:w w:val="96"/>
              </w:rPr>
              <w:t>46,171</w:t>
            </w:r>
          </w:p>
        </w:tc>
        <w:tc>
          <w:tcPr>
            <w:tcW w:w="300" w:type="dxa"/>
            <w:vAlign w:val="bottom"/>
            <w:shd w:val="clear" w:color="auto" w:fill="B6DDE8"/>
          </w:tcPr>
          <w:p>
            <w:pPr>
              <w:spacing w:after="0"/>
              <w:rPr>
                <w:sz w:val="17"/>
                <w:szCs w:val="17"/>
                <w:color w:val="auto"/>
              </w:rPr>
            </w:pPr>
          </w:p>
        </w:tc>
        <w:tc>
          <w:tcPr>
            <w:tcW w:w="106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B6DDE8"/>
          </w:tcPr>
          <w:p>
            <w:pPr>
              <w:spacing w:after="0"/>
              <w:rPr>
                <w:sz w:val="17"/>
                <w:szCs w:val="17"/>
                <w:color w:val="auto"/>
              </w:rPr>
            </w:pPr>
          </w:p>
        </w:tc>
        <w:tc>
          <w:tcPr>
            <w:tcW w:w="136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B6DDE8"/>
          </w:tcPr>
          <w:p>
            <w:pPr>
              <w:spacing w:after="0"/>
              <w:rPr>
                <w:sz w:val="17"/>
                <w:szCs w:val="17"/>
                <w:color w:val="auto"/>
              </w:rPr>
            </w:pPr>
          </w:p>
        </w:tc>
        <w:tc>
          <w:tcPr>
            <w:tcW w:w="104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vMerge w:val="restart"/>
            <w:shd w:val="clear" w:color="auto" w:fill="B6DDE8"/>
          </w:tcPr>
          <w:p>
            <w:pPr>
              <w:jc w:val="center"/>
              <w:ind w:left="110"/>
              <w:spacing w:after="0"/>
              <w:rPr>
                <w:sz w:val="20"/>
                <w:szCs w:val="20"/>
                <w:color w:val="auto"/>
              </w:rPr>
            </w:pPr>
            <w:r>
              <w:rPr>
                <w:rFonts w:ascii="Times New Roman" w:cs="Times New Roman" w:eastAsia="Times New Roman" w:hAnsi="Times New Roman"/>
                <w:sz w:val="18"/>
                <w:szCs w:val="18"/>
                <w:color w:val="auto"/>
              </w:rPr>
              <w:t>46,171</w:t>
            </w:r>
          </w:p>
        </w:tc>
        <w:tc>
          <w:tcPr>
            <w:tcW w:w="0" w:type="dxa"/>
            <w:vAlign w:val="bottom"/>
          </w:tcPr>
          <w:p>
            <w:pPr>
              <w:spacing w:after="0"/>
              <w:rPr>
                <w:sz w:val="1"/>
                <w:szCs w:val="1"/>
                <w:color w:val="auto"/>
              </w:rPr>
            </w:pPr>
          </w:p>
        </w:tc>
      </w:tr>
      <w:tr>
        <w:trPr>
          <w:trHeight w:val="128"/>
        </w:trPr>
        <w:tc>
          <w:tcPr>
            <w:tcW w:w="3880" w:type="dxa"/>
            <w:vAlign w:val="bottom"/>
            <w:vMerge w:val="restart"/>
            <w:shd w:val="clear" w:color="auto" w:fill="B6DDE8"/>
          </w:tcPr>
          <w:p>
            <w:pPr>
              <w:ind w:left="20"/>
              <w:spacing w:after="0"/>
              <w:rPr>
                <w:sz w:val="20"/>
                <w:szCs w:val="20"/>
                <w:color w:val="auto"/>
              </w:rPr>
            </w:pPr>
            <w:r>
              <w:rPr>
                <w:rFonts w:ascii="Times New Roman" w:cs="Times New Roman" w:eastAsia="Times New Roman" w:hAnsi="Times New Roman"/>
                <w:sz w:val="18"/>
                <w:szCs w:val="18"/>
                <w:i w:val="1"/>
                <w:iCs w:val="1"/>
                <w:color w:val="auto"/>
              </w:rPr>
              <w:t>Non-Executive Director</w:t>
            </w:r>
          </w:p>
        </w:tc>
        <w:tc>
          <w:tcPr>
            <w:tcW w:w="1900" w:type="dxa"/>
            <w:vAlign w:val="bottom"/>
            <w:gridSpan w:val="2"/>
            <w:vMerge w:val="continue"/>
            <w:shd w:val="clear" w:color="auto" w:fill="B6DDE8"/>
          </w:tcPr>
          <w:p>
            <w:pPr>
              <w:spacing w:after="0"/>
              <w:rPr>
                <w:sz w:val="11"/>
                <w:szCs w:val="11"/>
                <w:color w:val="auto"/>
              </w:rPr>
            </w:pPr>
          </w:p>
        </w:tc>
        <w:tc>
          <w:tcPr>
            <w:tcW w:w="300" w:type="dxa"/>
            <w:vAlign w:val="bottom"/>
            <w:shd w:val="clear" w:color="auto" w:fill="B6DDE8"/>
          </w:tcPr>
          <w:p>
            <w:pPr>
              <w:spacing w:after="0"/>
              <w:rPr>
                <w:sz w:val="11"/>
                <w:szCs w:val="11"/>
                <w:color w:val="auto"/>
              </w:rPr>
            </w:pPr>
          </w:p>
        </w:tc>
        <w:tc>
          <w:tcPr>
            <w:tcW w:w="1060" w:type="dxa"/>
            <w:vAlign w:val="bottom"/>
            <w:vMerge w:val="continue"/>
            <w:shd w:val="clear" w:color="auto" w:fill="B6DDE8"/>
          </w:tcPr>
          <w:p>
            <w:pPr>
              <w:spacing w:after="0"/>
              <w:rPr>
                <w:sz w:val="11"/>
                <w:szCs w:val="11"/>
                <w:color w:val="auto"/>
              </w:rPr>
            </w:pPr>
          </w:p>
        </w:tc>
        <w:tc>
          <w:tcPr>
            <w:tcW w:w="180" w:type="dxa"/>
            <w:vAlign w:val="bottom"/>
            <w:shd w:val="clear" w:color="auto" w:fill="B6DDE8"/>
          </w:tcPr>
          <w:p>
            <w:pPr>
              <w:spacing w:after="0"/>
              <w:rPr>
                <w:sz w:val="11"/>
                <w:szCs w:val="11"/>
                <w:color w:val="auto"/>
              </w:rPr>
            </w:pPr>
          </w:p>
        </w:tc>
        <w:tc>
          <w:tcPr>
            <w:tcW w:w="1360" w:type="dxa"/>
            <w:vAlign w:val="bottom"/>
            <w:vMerge w:val="continue"/>
            <w:shd w:val="clear" w:color="auto" w:fill="B6DDE8"/>
          </w:tcPr>
          <w:p>
            <w:pPr>
              <w:spacing w:after="0"/>
              <w:rPr>
                <w:sz w:val="11"/>
                <w:szCs w:val="11"/>
                <w:color w:val="auto"/>
              </w:rPr>
            </w:pPr>
          </w:p>
        </w:tc>
        <w:tc>
          <w:tcPr>
            <w:tcW w:w="300" w:type="dxa"/>
            <w:vAlign w:val="bottom"/>
            <w:shd w:val="clear" w:color="auto" w:fill="B6DDE8"/>
          </w:tcPr>
          <w:p>
            <w:pPr>
              <w:spacing w:after="0"/>
              <w:rPr>
                <w:sz w:val="11"/>
                <w:szCs w:val="11"/>
                <w:color w:val="auto"/>
              </w:rPr>
            </w:pPr>
          </w:p>
        </w:tc>
        <w:tc>
          <w:tcPr>
            <w:tcW w:w="1040" w:type="dxa"/>
            <w:vAlign w:val="bottom"/>
            <w:vMerge w:val="continue"/>
            <w:shd w:val="clear" w:color="auto" w:fill="B6DDE8"/>
          </w:tcPr>
          <w:p>
            <w:pPr>
              <w:spacing w:after="0"/>
              <w:rPr>
                <w:sz w:val="11"/>
                <w:szCs w:val="11"/>
                <w:color w:val="auto"/>
              </w:rPr>
            </w:pPr>
          </w:p>
        </w:tc>
        <w:tc>
          <w:tcPr>
            <w:tcW w:w="1220" w:type="dxa"/>
            <w:vAlign w:val="bottom"/>
            <w:gridSpan w:val="2"/>
            <w:vMerge w:val="continue"/>
            <w:shd w:val="clear" w:color="auto" w:fill="B6DDE8"/>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vMerge w:val="continue"/>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70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60" w:type="dxa"/>
            <w:vAlign w:val="bottom"/>
            <w:shd w:val="clear" w:color="auto" w:fill="B6DDE8"/>
          </w:tcPr>
          <w:p>
            <w:pPr>
              <w:spacing w:after="0"/>
              <w:rPr>
                <w:sz w:val="9"/>
                <w:szCs w:val="9"/>
                <w:color w:val="auto"/>
              </w:rPr>
            </w:pPr>
          </w:p>
        </w:tc>
        <w:tc>
          <w:tcPr>
            <w:tcW w:w="180" w:type="dxa"/>
            <w:vAlign w:val="bottom"/>
            <w:shd w:val="clear" w:color="auto" w:fill="B6DDE8"/>
          </w:tcPr>
          <w:p>
            <w:pPr>
              <w:spacing w:after="0"/>
              <w:rPr>
                <w:sz w:val="9"/>
                <w:szCs w:val="9"/>
                <w:color w:val="auto"/>
              </w:rPr>
            </w:pPr>
          </w:p>
        </w:tc>
        <w:tc>
          <w:tcPr>
            <w:tcW w:w="136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40" w:type="dxa"/>
            <w:vAlign w:val="bottom"/>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020" w:type="dxa"/>
            <w:vAlign w:val="bottom"/>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Elliott Levy, M.D.</w:t>
            </w:r>
          </w:p>
        </w:tc>
        <w:tc>
          <w:tcPr>
            <w:tcW w:w="19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38,944</w:t>
            </w:r>
          </w:p>
        </w:tc>
        <w:tc>
          <w:tcPr>
            <w:tcW w:w="30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38,944</w:t>
            </w:r>
          </w:p>
        </w:tc>
        <w:tc>
          <w:tcPr>
            <w:tcW w:w="0" w:type="dxa"/>
            <w:vAlign w:val="bottom"/>
          </w:tcPr>
          <w:p>
            <w:pPr>
              <w:spacing w:after="0"/>
              <w:rPr>
                <w:sz w:val="1"/>
                <w:szCs w:val="1"/>
                <w:color w:val="auto"/>
              </w:rPr>
            </w:pPr>
          </w:p>
        </w:tc>
      </w:tr>
      <w:tr>
        <w:trPr>
          <w:trHeight w:val="128"/>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Non-Executive Director</w:t>
            </w:r>
          </w:p>
        </w:tc>
        <w:tc>
          <w:tcPr>
            <w:tcW w:w="19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880" w:type="dxa"/>
            <w:vAlign w:val="bottom"/>
            <w:shd w:val="clear" w:color="auto" w:fill="B6DDE8"/>
          </w:tcPr>
          <w:p>
            <w:pPr>
              <w:ind w:left="20"/>
              <w:spacing w:after="0"/>
              <w:rPr>
                <w:sz w:val="20"/>
                <w:szCs w:val="20"/>
                <w:color w:val="auto"/>
              </w:rPr>
            </w:pPr>
            <w:r>
              <w:rPr>
                <w:rFonts w:ascii="Times New Roman" w:cs="Times New Roman" w:eastAsia="Times New Roman" w:hAnsi="Times New Roman"/>
                <w:sz w:val="18"/>
                <w:szCs w:val="18"/>
                <w:color w:val="auto"/>
              </w:rPr>
              <w:t>Bali Muralidhar, M.D., Ph.D. (5)</w:t>
            </w:r>
          </w:p>
        </w:tc>
        <w:tc>
          <w:tcPr>
            <w:tcW w:w="200" w:type="dxa"/>
            <w:vAlign w:val="bottom"/>
            <w:shd w:val="clear" w:color="auto" w:fill="B6DDE8"/>
          </w:tcPr>
          <w:p>
            <w:pPr>
              <w:spacing w:after="0"/>
              <w:rPr>
                <w:sz w:val="24"/>
                <w:szCs w:val="24"/>
                <w:color w:val="auto"/>
              </w:rPr>
            </w:pPr>
          </w:p>
        </w:tc>
        <w:tc>
          <w:tcPr>
            <w:tcW w:w="170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B6DDE8"/>
          </w:tcPr>
          <w:p>
            <w:pPr>
              <w:spacing w:after="0"/>
              <w:rPr>
                <w:sz w:val="24"/>
                <w:szCs w:val="24"/>
                <w:color w:val="auto"/>
              </w:rPr>
            </w:pPr>
          </w:p>
        </w:tc>
        <w:tc>
          <w:tcPr>
            <w:tcW w:w="106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B6DDE8"/>
          </w:tcPr>
          <w:p>
            <w:pPr>
              <w:spacing w:after="0"/>
              <w:rPr>
                <w:sz w:val="24"/>
                <w:szCs w:val="24"/>
                <w:color w:val="auto"/>
              </w:rPr>
            </w:pPr>
          </w:p>
        </w:tc>
        <w:tc>
          <w:tcPr>
            <w:tcW w:w="136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B6DDE8"/>
          </w:tcPr>
          <w:p>
            <w:pPr>
              <w:spacing w:after="0"/>
              <w:rPr>
                <w:sz w:val="24"/>
                <w:szCs w:val="24"/>
                <w:color w:val="auto"/>
              </w:rPr>
            </w:pPr>
          </w:p>
        </w:tc>
        <w:tc>
          <w:tcPr>
            <w:tcW w:w="104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B6DDE8"/>
          </w:tcPr>
          <w:p>
            <w:pPr>
              <w:spacing w:after="0"/>
              <w:rPr>
                <w:sz w:val="24"/>
                <w:szCs w:val="24"/>
                <w:color w:val="auto"/>
              </w:rPr>
            </w:pPr>
          </w:p>
        </w:tc>
        <w:tc>
          <w:tcPr>
            <w:tcW w:w="1020" w:type="dxa"/>
            <w:vAlign w:val="bottom"/>
            <w:vMerge w:val="restart"/>
            <w:shd w:val="clear" w:color="auto" w:fill="B6D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3880" w:type="dxa"/>
            <w:vAlign w:val="bottom"/>
            <w:vMerge w:val="restart"/>
            <w:shd w:val="clear" w:color="auto" w:fill="B6DDE8"/>
          </w:tcPr>
          <w:p>
            <w:pPr>
              <w:ind w:left="20"/>
              <w:spacing w:after="0"/>
              <w:rPr>
                <w:sz w:val="20"/>
                <w:szCs w:val="20"/>
                <w:color w:val="auto"/>
              </w:rPr>
            </w:pPr>
            <w:r>
              <w:rPr>
                <w:rFonts w:ascii="Times New Roman" w:cs="Times New Roman" w:eastAsia="Times New Roman" w:hAnsi="Times New Roman"/>
                <w:sz w:val="18"/>
                <w:szCs w:val="18"/>
                <w:i w:val="1"/>
                <w:iCs w:val="1"/>
                <w:color w:val="auto"/>
              </w:rPr>
              <w:t>Former Non-Executive Director</w:t>
            </w:r>
          </w:p>
        </w:tc>
        <w:tc>
          <w:tcPr>
            <w:tcW w:w="200" w:type="dxa"/>
            <w:vAlign w:val="bottom"/>
            <w:shd w:val="clear" w:color="auto" w:fill="B6DDE8"/>
          </w:tcPr>
          <w:p>
            <w:pPr>
              <w:spacing w:after="0"/>
              <w:rPr>
                <w:sz w:val="11"/>
                <w:szCs w:val="11"/>
                <w:color w:val="auto"/>
              </w:rPr>
            </w:pPr>
          </w:p>
        </w:tc>
        <w:tc>
          <w:tcPr>
            <w:tcW w:w="1700" w:type="dxa"/>
            <w:vAlign w:val="bottom"/>
            <w:vMerge w:val="continue"/>
            <w:shd w:val="clear" w:color="auto" w:fill="B6DDE8"/>
          </w:tcPr>
          <w:p>
            <w:pPr>
              <w:spacing w:after="0"/>
              <w:rPr>
                <w:sz w:val="11"/>
                <w:szCs w:val="11"/>
                <w:color w:val="auto"/>
              </w:rPr>
            </w:pPr>
          </w:p>
        </w:tc>
        <w:tc>
          <w:tcPr>
            <w:tcW w:w="300" w:type="dxa"/>
            <w:vAlign w:val="bottom"/>
            <w:shd w:val="clear" w:color="auto" w:fill="B6DDE8"/>
          </w:tcPr>
          <w:p>
            <w:pPr>
              <w:spacing w:after="0"/>
              <w:rPr>
                <w:sz w:val="11"/>
                <w:szCs w:val="11"/>
                <w:color w:val="auto"/>
              </w:rPr>
            </w:pPr>
          </w:p>
        </w:tc>
        <w:tc>
          <w:tcPr>
            <w:tcW w:w="1060" w:type="dxa"/>
            <w:vAlign w:val="bottom"/>
            <w:vMerge w:val="continue"/>
            <w:shd w:val="clear" w:color="auto" w:fill="B6DDE8"/>
          </w:tcPr>
          <w:p>
            <w:pPr>
              <w:spacing w:after="0"/>
              <w:rPr>
                <w:sz w:val="11"/>
                <w:szCs w:val="11"/>
                <w:color w:val="auto"/>
              </w:rPr>
            </w:pPr>
          </w:p>
        </w:tc>
        <w:tc>
          <w:tcPr>
            <w:tcW w:w="180" w:type="dxa"/>
            <w:vAlign w:val="bottom"/>
            <w:shd w:val="clear" w:color="auto" w:fill="B6DDE8"/>
          </w:tcPr>
          <w:p>
            <w:pPr>
              <w:spacing w:after="0"/>
              <w:rPr>
                <w:sz w:val="11"/>
                <w:szCs w:val="11"/>
                <w:color w:val="auto"/>
              </w:rPr>
            </w:pPr>
          </w:p>
        </w:tc>
        <w:tc>
          <w:tcPr>
            <w:tcW w:w="1360" w:type="dxa"/>
            <w:vAlign w:val="bottom"/>
            <w:vMerge w:val="continue"/>
            <w:shd w:val="clear" w:color="auto" w:fill="B6DDE8"/>
          </w:tcPr>
          <w:p>
            <w:pPr>
              <w:spacing w:after="0"/>
              <w:rPr>
                <w:sz w:val="11"/>
                <w:szCs w:val="11"/>
                <w:color w:val="auto"/>
              </w:rPr>
            </w:pPr>
          </w:p>
        </w:tc>
        <w:tc>
          <w:tcPr>
            <w:tcW w:w="300" w:type="dxa"/>
            <w:vAlign w:val="bottom"/>
            <w:shd w:val="clear" w:color="auto" w:fill="B6DDE8"/>
          </w:tcPr>
          <w:p>
            <w:pPr>
              <w:spacing w:after="0"/>
              <w:rPr>
                <w:sz w:val="11"/>
                <w:szCs w:val="11"/>
                <w:color w:val="auto"/>
              </w:rPr>
            </w:pPr>
          </w:p>
        </w:tc>
        <w:tc>
          <w:tcPr>
            <w:tcW w:w="1040" w:type="dxa"/>
            <w:vAlign w:val="bottom"/>
            <w:vMerge w:val="continue"/>
            <w:shd w:val="clear" w:color="auto" w:fill="B6DDE8"/>
          </w:tcPr>
          <w:p>
            <w:pPr>
              <w:spacing w:after="0"/>
              <w:rPr>
                <w:sz w:val="11"/>
                <w:szCs w:val="11"/>
                <w:color w:val="auto"/>
              </w:rPr>
            </w:pPr>
          </w:p>
        </w:tc>
        <w:tc>
          <w:tcPr>
            <w:tcW w:w="200" w:type="dxa"/>
            <w:vAlign w:val="bottom"/>
            <w:shd w:val="clear" w:color="auto" w:fill="B6DDE8"/>
          </w:tcPr>
          <w:p>
            <w:pPr>
              <w:spacing w:after="0"/>
              <w:rPr>
                <w:sz w:val="11"/>
                <w:szCs w:val="11"/>
                <w:color w:val="auto"/>
              </w:rPr>
            </w:pPr>
          </w:p>
        </w:tc>
        <w:tc>
          <w:tcPr>
            <w:tcW w:w="1020" w:type="dxa"/>
            <w:vAlign w:val="bottom"/>
            <w:vMerge w:val="continue"/>
            <w:shd w:val="clear" w:color="auto" w:fill="B6DDE8"/>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vMerge w:val="continue"/>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70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60" w:type="dxa"/>
            <w:vAlign w:val="bottom"/>
            <w:shd w:val="clear" w:color="auto" w:fill="B6DDE8"/>
          </w:tcPr>
          <w:p>
            <w:pPr>
              <w:spacing w:after="0"/>
              <w:rPr>
                <w:sz w:val="9"/>
                <w:szCs w:val="9"/>
                <w:color w:val="auto"/>
              </w:rPr>
            </w:pPr>
          </w:p>
        </w:tc>
        <w:tc>
          <w:tcPr>
            <w:tcW w:w="180" w:type="dxa"/>
            <w:vAlign w:val="bottom"/>
            <w:shd w:val="clear" w:color="auto" w:fill="B6DDE8"/>
          </w:tcPr>
          <w:p>
            <w:pPr>
              <w:spacing w:after="0"/>
              <w:rPr>
                <w:sz w:val="9"/>
                <w:szCs w:val="9"/>
                <w:color w:val="auto"/>
              </w:rPr>
            </w:pPr>
          </w:p>
        </w:tc>
        <w:tc>
          <w:tcPr>
            <w:tcW w:w="136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40" w:type="dxa"/>
            <w:vAlign w:val="bottom"/>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020" w:type="dxa"/>
            <w:vAlign w:val="bottom"/>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80" w:type="dxa"/>
            <w:vAlign w:val="bottom"/>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70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60" w:type="dxa"/>
            <w:vAlign w:val="bottom"/>
            <w:shd w:val="clear" w:color="auto" w:fill="B6DDE8"/>
          </w:tcPr>
          <w:p>
            <w:pPr>
              <w:spacing w:after="0"/>
              <w:rPr>
                <w:sz w:val="9"/>
                <w:szCs w:val="9"/>
                <w:color w:val="auto"/>
              </w:rPr>
            </w:pPr>
          </w:p>
        </w:tc>
        <w:tc>
          <w:tcPr>
            <w:tcW w:w="180" w:type="dxa"/>
            <w:vAlign w:val="bottom"/>
            <w:shd w:val="clear" w:color="auto" w:fill="B6DDE8"/>
          </w:tcPr>
          <w:p>
            <w:pPr>
              <w:spacing w:after="0"/>
              <w:rPr>
                <w:sz w:val="9"/>
                <w:szCs w:val="9"/>
                <w:color w:val="auto"/>
              </w:rPr>
            </w:pPr>
          </w:p>
        </w:tc>
        <w:tc>
          <w:tcPr>
            <w:tcW w:w="1360" w:type="dxa"/>
            <w:vAlign w:val="bottom"/>
            <w:shd w:val="clear" w:color="auto" w:fill="B6DDE8"/>
          </w:tcPr>
          <w:p>
            <w:pPr>
              <w:spacing w:after="0"/>
              <w:rPr>
                <w:sz w:val="9"/>
                <w:szCs w:val="9"/>
                <w:color w:val="auto"/>
              </w:rPr>
            </w:pPr>
          </w:p>
        </w:tc>
        <w:tc>
          <w:tcPr>
            <w:tcW w:w="300" w:type="dxa"/>
            <w:vAlign w:val="bottom"/>
            <w:shd w:val="clear" w:color="auto" w:fill="B6DDE8"/>
          </w:tcPr>
          <w:p>
            <w:pPr>
              <w:spacing w:after="0"/>
              <w:rPr>
                <w:sz w:val="9"/>
                <w:szCs w:val="9"/>
                <w:color w:val="auto"/>
              </w:rPr>
            </w:pPr>
          </w:p>
        </w:tc>
        <w:tc>
          <w:tcPr>
            <w:tcW w:w="1040" w:type="dxa"/>
            <w:vAlign w:val="bottom"/>
            <w:shd w:val="clear" w:color="auto" w:fill="B6DDE8"/>
          </w:tcPr>
          <w:p>
            <w:pPr>
              <w:spacing w:after="0"/>
              <w:rPr>
                <w:sz w:val="9"/>
                <w:szCs w:val="9"/>
                <w:color w:val="auto"/>
              </w:rPr>
            </w:pPr>
          </w:p>
        </w:tc>
        <w:tc>
          <w:tcPr>
            <w:tcW w:w="200" w:type="dxa"/>
            <w:vAlign w:val="bottom"/>
            <w:shd w:val="clear" w:color="auto" w:fill="B6DDE8"/>
          </w:tcPr>
          <w:p>
            <w:pPr>
              <w:spacing w:after="0"/>
              <w:rPr>
                <w:sz w:val="9"/>
                <w:szCs w:val="9"/>
                <w:color w:val="auto"/>
              </w:rPr>
            </w:pPr>
          </w:p>
        </w:tc>
        <w:tc>
          <w:tcPr>
            <w:tcW w:w="1020" w:type="dxa"/>
            <w:vAlign w:val="bottom"/>
            <w:shd w:val="clear" w:color="auto" w:fill="B6DDE8"/>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majority of compensation was set and paid in pounds sterling (£).</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for benefits represents our contribution to medical insurance.</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for pension benefit represents our contribution into a money purchase plan.</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George retired from the board on March 21, 2025.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(5) Dr. Muralidhar retired from the board on October 21,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Compensation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compensation for each of our executive directors and executive officers is comprised of the following elements: base salary, annual bonus, personal benefits and pension or 401(k) plan. The total amount of compensation paid and benefits in kind granted to our executive officers, whether or not a director, for the year ended December 31, 2025 was £2.3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Plans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executive directors and executive officers are eligible for an annual bonus at the discretion of the Remuneration Committee. Bonus awards are reviewed at the end of each calendar year and any such awards are determined by the performance of the individual and the company as a whole based upon the achievement of strategic objectives set at the beginning of the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Grants and Option Exercises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options to purchase 2,795,885,001 ordinary shares were awarded to executive officers and non-executive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9" w:name="page120"/>
    <w:bookmarkEnd w:id="119"/>
    <w:tbl>
      <w:tblPr>
        <w:tblLayout w:type="fixed"/>
        <w:tblInd w:w="332"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First date of</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Plan(1)</w:t>
            </w:r>
          </w:p>
        </w:tc>
        <w:tc>
          <w:tcPr>
            <w:tcW w:w="60" w:type="dxa"/>
            <w:vAlign w:val="bottom"/>
          </w:tcPr>
          <w:p>
            <w:pPr>
              <w:spacing w:after="0"/>
              <w:rPr>
                <w:sz w:val="15"/>
                <w:szCs w:val="15"/>
                <w:color w:val="auto"/>
              </w:rPr>
            </w:pPr>
          </w:p>
        </w:tc>
        <w:tc>
          <w:tcPr>
            <w:tcW w:w="13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exercise (2)</w:t>
            </w:r>
          </w:p>
        </w:tc>
        <w:tc>
          <w:tcPr>
            <w:tcW w:w="80" w:type="dxa"/>
            <w:vAlign w:val="bottom"/>
          </w:tcPr>
          <w:p>
            <w:pPr>
              <w:spacing w:after="0"/>
              <w:rPr>
                <w:sz w:val="15"/>
                <w:szCs w:val="15"/>
                <w:color w:val="auto"/>
              </w:rPr>
            </w:pPr>
          </w:p>
        </w:tc>
        <w:tc>
          <w:tcPr>
            <w:tcW w:w="13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Date of expiry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36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8"/>
              </w:rPr>
              <w:t>Directors and Executive Officers</w:t>
            </w:r>
          </w:p>
        </w:tc>
        <w:tc>
          <w:tcPr>
            <w:tcW w:w="20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Hugh S. Griffith</w:t>
            </w:r>
          </w:p>
        </w:tc>
        <w:tc>
          <w:tcPr>
            <w:tcW w:w="1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Share Option Scheme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62,499,995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shd w:val="clear" w:color="auto" w:fill="CFF0FC"/>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1,221,867,885</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691,582,704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Webster (3)</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 Share Option Scheme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49,625,635</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2016</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 Option Scheme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12,874,360</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shd w:val="clear" w:color="auto" w:fill="CFF0FC"/>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20,209,396</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Jeffrey Bloss</w:t>
            </w:r>
          </w:p>
        </w:tc>
        <w:tc>
          <w:tcPr>
            <w:tcW w:w="1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2020 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73,079,440</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shd w:val="clear" w:color="auto" w:fill="CFF0FC"/>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73,079,440</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146,158,880</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Harrison</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 Share Option Scheme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62,499,995</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1,971,417</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shd w:val="clear" w:color="auto" w:fill="CFF0FC"/>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64,471,412</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Non-Executive Directors</w:t>
            </w: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Martin Mellish</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35,231,753</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35,231,753</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Cyrille Leperlier</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32,823,199</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32,823,199</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Kay</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52,934,010</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52,934,010</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Elliott Levy</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23,811,896</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23,811,896</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Bali Muralidhar (4)</w:t>
            </w:r>
          </w:p>
        </w:tc>
        <w:tc>
          <w:tcPr>
            <w:tcW w:w="120" w:type="dxa"/>
            <w:vAlign w:val="bottom"/>
            <w:tcBorders>
              <w:right w:val="single" w:sz="8" w:color="CFF0FC"/>
            </w:tcBorders>
            <w:shd w:val="clear" w:color="auto" w:fill="CFF0FC"/>
          </w:tcPr>
          <w:p>
            <w:pPr>
              <w:spacing w:after="0"/>
              <w:rPr>
                <w:sz w:val="18"/>
                <w:szCs w:val="18"/>
                <w:color w:val="auto"/>
              </w:rPr>
            </w:pPr>
          </w:p>
        </w:tc>
        <w:tc>
          <w:tcPr>
            <w:tcW w:w="26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Long Term Incentive Plan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13,181,363</w:t>
            </w:r>
          </w:p>
        </w:tc>
        <w:tc>
          <w:tcPr>
            <w:tcW w:w="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2025</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gridSpan w:val="2"/>
          </w:tcPr>
          <w:p>
            <w:pPr>
              <w:jc w:val="center"/>
              <w:ind w:right="308"/>
              <w:spacing w:after="0"/>
              <w:rPr>
                <w:sz w:val="20"/>
                <w:szCs w:val="20"/>
                <w:color w:val="auto"/>
              </w:rPr>
            </w:pPr>
            <w:r>
              <w:rPr>
                <w:rFonts w:ascii="Times New Roman" w:cs="Times New Roman" w:eastAsia="Times New Roman" w:hAnsi="Times New Roman"/>
                <w:sz w:val="18"/>
                <w:szCs w:val="18"/>
                <w:color w:val="auto"/>
                <w:w w:val="99"/>
              </w:rPr>
              <w:t>Long Term Incentive Plan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13,181,363</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£ 0.0004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160" w:type="dxa"/>
            <w:vAlign w:val="bottom"/>
          </w:tcPr>
          <w:p>
            <w:pPr>
              <w:spacing w:after="0"/>
              <w:rPr>
                <w:sz w:val="20"/>
                <w:szCs w:val="20"/>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2026</w:t>
            </w:r>
          </w:p>
        </w:tc>
        <w:tc>
          <w:tcPr>
            <w:tcW w:w="80" w:type="dxa"/>
            <w:vAlign w:val="bottom"/>
          </w:tcPr>
          <w:p>
            <w:pPr>
              <w:spacing w:after="0"/>
              <w:rPr>
                <w:sz w:val="20"/>
                <w:szCs w:val="20"/>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Jun 20, 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372" w:hanging="372"/>
        <w:spacing w:after="0" w:line="282" w:lineRule="auto"/>
        <w:tabs>
          <w:tab w:leader="none" w:pos="3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of the NuCana BioMed Limited 2016 Share Option Scheme (Including Enterprise Management Incentives &amp; Incentive Stock Options), as amended, or the 2016 Share Option Scheme, and 2020 Long-Term Incentive Plan, as amended, or the 2020 LTIP, are given on pages 116 – 119.</w:t>
      </w:r>
    </w:p>
    <w:p>
      <w:pPr>
        <w:spacing w:after="0" w:line="53" w:lineRule="exact"/>
        <w:rPr>
          <w:rFonts w:ascii="Times New Roman" w:cs="Times New Roman" w:eastAsia="Times New Roman" w:hAnsi="Times New Roman"/>
          <w:sz w:val="18"/>
          <w:szCs w:val="18"/>
          <w:color w:val="auto"/>
        </w:rPr>
      </w:pPr>
    </w:p>
    <w:p>
      <w:pPr>
        <w:ind w:left="372" w:hanging="372"/>
        <w:spacing w:after="0" w:line="282" w:lineRule="auto"/>
        <w:tabs>
          <w:tab w:leader="none" w:pos="3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will vest if the option holder remains under their respective employment contract or contract of services for the agreed vesting period. The share options granted under these plans will vest over a period of up to four years.</w:t>
      </w:r>
    </w:p>
    <w:p>
      <w:pPr>
        <w:spacing w:after="0" w:line="5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Webster was appointed as our Interim Chief Financial Officer effective June 18, 2025.</w:t>
      </w:r>
    </w:p>
    <w:p>
      <w:pPr>
        <w:spacing w:after="0" w:line="11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Muralidhar retired from the board on October 21, 2025.</w:t>
      </w:r>
    </w:p>
    <w:p>
      <w:pPr>
        <w:spacing w:after="0" w:line="200" w:lineRule="exact"/>
        <w:rPr>
          <w:sz w:val="20"/>
          <w:szCs w:val="20"/>
          <w:color w:val="auto"/>
        </w:rPr>
      </w:pPr>
    </w:p>
    <w:p>
      <w:pPr>
        <w:spacing w:after="0" w:line="3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493395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4" w:right="339" w:bottom="1440" w:gutter="0" w:footer="0" w:header="0"/>
        </w:sectPr>
      </w:pPr>
    </w:p>
    <w:bookmarkStart w:id="120" w:name="page121"/>
    <w:bookmarkEnd w:id="120"/>
    <w:p>
      <w:pPr>
        <w:ind w:left="380"/>
        <w:spacing w:after="0"/>
        <w:rPr>
          <w:sz w:val="20"/>
          <w:szCs w:val="20"/>
          <w:color w:val="auto"/>
        </w:rPr>
      </w:pPr>
      <w:r>
        <w:rPr>
          <w:rFonts w:ascii="Times New Roman" w:cs="Times New Roman" w:eastAsia="Times New Roman" w:hAnsi="Times New Roman"/>
          <w:sz w:val="18"/>
          <w:szCs w:val="18"/>
          <w:color w:val="auto"/>
        </w:rPr>
        <w:t>As of December 31, 2025, our executive officers and directors held options to purchase 2,479,920,559 ordinary shares.</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periodically grant share options to employees, directors and consultants to enable them to share in our successes and to reinforce a corporate culture that aligns their interests with that of our shareholders. During the year ended December 31, 2025, we granted options to purchase 2,795,885,001 ordinary shares to our executive officers and non-executive directors. During the year ended December 31, 2025, we granted options to purchase 682,191,731 ordinary shares to 14 employees and consultants who are not directors or executive officers.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Retirement and Similar Benefits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and our subsidiaries contributed a total of £96,334 into money purchase plans to provide pension, retirement or similar benefits to our executive officers and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2006, we are permitted to indemnify our directors against any liability they incur by reason of their directorship. We maintain directors’ and officers’ insurance to insure such persons against certain liabilities and expect to enter into a deed of indemnity with each of our directors and executive officers.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directors,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we have granted options to purchase our shares under two share option schemes, which are summarized in this section.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Share Option Scheme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January 14, 2016 we adopted a share option scheme, the 2016 Share Option Scheme, for the purpose of enabling the grant of share options to incentivize our employees and directors and those employees and directors of our subsidiary companies. The 2016 Share Option Scheme incorporates a sub-plan for option holders subject to taxation in the United States, or the 2016 U.S. Sub-Plan. The 2016 Share Option Scheme was subsequently amended and approved by our board of directors and by our shareholders on September 14, 2017 and October 2, 2017.</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2016 Share Option Scheme permits grants of (i) enterprise management incentive options, (ii) “unapproved” options, and (iii) incentive stock options and non-qualified stock options under the 2016 U.S. Sub-Plan.</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2025, we had granted options to purchase 510,713,404 ordinary shares to directors and employees under the 2016 Share Option Scheme. Options to purchase 92,312 shares were exercised by December 31, 2018, and a further 23,437 options were exercised in 2019. At December 31, 2025, 38,763,099 options had been forfeited or cancelled. Of the options granted under this scheme, 383,036,161 are vested, and the remaining options are unvested at December 31, 2025.</w:t>
      </w:r>
    </w:p>
    <w:p>
      <w:pPr>
        <w:spacing w:after="0" w:line="68"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of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option granted under the 2016 Share Option Scheme entitles the option holder, subject to the satisfaction, waiver or acceleration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specific exercise conditions, to subscribe for ordinary shares.</w:t>
      </w:r>
    </w:p>
    <w:p>
      <w:pPr>
        <w:spacing w:after="0" w:line="4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Exercise Conditions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granted under our 2016 Share Option Scheme may be granted subject to vesting schedules, performance targets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conditions which must be satisfied or waived before exercise. Exercise conditions may be removed or varied by our board of directors, provided that any variation shall be (in the reasonable opinion of our board of directors) no more difficult to satisfy than the original exercise condition.</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Each option grant is documented through an option agreement. Most of the option agreements entered into under the 2016 Share Option Scheme provide that all unvested options shall immediately vest if, following one of the Takeover and Corporate Events listed below, the option holder (i) remains an eligible employee for the purpose of the plan; and (ii) has experienced a material reduction in base compensation that was payable as of the date of grant or has otherwise experienced a material change or reduction in authority, duties, reporting or responsibilities.</w:t>
      </w:r>
    </w:p>
    <w:p>
      <w:pPr>
        <w:spacing w:after="0" w:line="6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Leaver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 option holder ceases to be an employee or director of the company or a subsidiary for a variety of specified reasons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ill health, retirement, sale of a subsidiary company or part of the business to a third party, or if his employment/directorship ceases for any reason apart from summary dismissal from fraud or gross misconduct) then the option holder may exercise his options during the 12 months after the date of such cessation of employment/directorship only to the extent that any exercise conditions have been met at the time of such cessation of employment/directorship. Any part of an option in respect of which the relevant exercise conditions have not been met at the point at which the option holder ceases his employment/directorship shall lapse.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Lapse of Options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not otherwise lapsed in accordance with the provisions of the 2016 Share Option Scheme, an option granted under the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Option Scheme shall lapse at 5 p.m. on the day before the 10th anniversary of the grant of the option.</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an option holder dies, his personal representatives may exercise his options within a period ending on the earlier of (i) the expiry of 12 months after the date of death, and (ii) 5 p.m. on the day before the 10th anniversary of the grant of the option, only to the extent that any exercise conditions have been met at the time of death. Failing such exercise, the deceased option holder’s options shall lapse.</w:t>
      </w:r>
    </w:p>
    <w:p>
      <w:pPr>
        <w:spacing w:after="0" w:line="6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Takeovers and Corporate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any person or group of persons acting in concert obtains control (as defined in section 840 of ICTA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now contained in section 995 of ITA) of the company, as a result of making either (i) an offer to acquire shares amounting to more than 50% of the issued share capital of the company on a condition such that if it is satisfied the person or group of persons will have control of the company, or (ii) a general offer to acquire all of the issued share capital of the company (or all of the ordinary shares of the company in issue); or (b) any person becomes entitled or bound to acquire shares in the company under sections 974 to 991 of the Companies Act 2006; or (c) under sections 895 to 901 of the Companies Act 2006 the courts of England and Wales sanction a compromise or arrangement proposed for the purpose of or in connection with a scheme for the reconstruction of the company or its amalgamation with any other company or companies, and, in each case an option holder’s option agreement expressly so provides, an option holder may at any time exercise his or her options or any part thereof which has not lapsed within a specified period. To the extent they are not exercised, such options will lapse at the end of the specified period for exercise.</w:t>
      </w:r>
    </w:p>
    <w:p>
      <w:pPr>
        <w:spacing w:after="0" w:line="80"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Adjustment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there is any variation in our share capital that affects the value of the options, our board of directors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such adjustments to the number and exercise price of shares subject to each option or the option price as our board of directors considers appropriate in accordance with the rules of the 2016 Share Option Scheme.</w:t>
      </w:r>
    </w:p>
    <w:p>
      <w:pPr>
        <w:spacing w:after="0" w:line="63"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options under the 2016 Share Option Scheme may be transferred, assigned or have any charge created over them and will lapse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upon an attempt to do so.</w:t>
      </w:r>
    </w:p>
    <w:p>
      <w:pPr>
        <w:spacing w:after="0" w:line="47"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may amend the 2016 Share Option Scheme, provided that any amendment shall not, without the consent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holder, materially increase his or her liabilities or materially decrease the value of his or her subsisting rights under an outstanding option.</w:t>
      </w:r>
    </w:p>
    <w:p>
      <w:pPr>
        <w:spacing w:after="0" w:line="5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amendment to the scheme shall take effect without the requirement for the prior approval of our shareholders, except as otherwise required by applicable laws or the rules of any securities exchange on which our securities are listed.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U.S. Sub-Plan</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2016 U.S. Sub-Plan applies to grantees that are subject to U.S. federal income tax. The 2016 U.S. Sub-Plan provides that options granted to the U.S. grantees will either be incentive stock options pursuant to Section 422 of the Internal Revenue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date and must have an exercise price at least equal to 110% of the fair market value of an underlying share on the date of grant. The number of shares available under the 2016 Share Option Scheme for grants of incentive stock options shall not exceed 5,008,284 ordinary shares, subject to any applicable adjustment pursuant to the 2016 Share Option Scheme due to a variation of capital. With respect to grantees that are subject to U.S. federal income tax, the 2016 Share Option Scheme, the 2016 U.S. Sub-Plan and all options issued thereunder are intended to comply with, or be exempt from, Section 409A of the Internal Revenue Code, and they are to be interpreted accordingly. In the event that any option is subject to Section 409A of the Internal Revenue Code, our board of directors or our general counsel may, in their sole discretion, amend the 2016 Share Option Scheme, the 2016 U.S. Sub-Plan and any option issued thereunder, adopt policies and procedures or take such other actions as our board of directors or our general counsel deem appropriate, to exempt the 2016 Share Option Scheme, the 2016 U.S. Sub-Plan or any option from Section 409A of the Internal Revenue Code, preserve the intended tax treatment of such option or comply with the requirements of Section 409A of the Internal Revenue Code.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Long-Term Incentive Plan (2020 LTIP)</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June 25, 2020, we adopted a share option scheme, the 2020 LTIP, for the purpose of enabling the grant of share options to incentivize our employees, directors and consultants, and those employees, directors and consultants of our subsidiary companies. In January 2026, we amended the 2020 LTIP to extend the period during which grants may be made thereunder from five years to ten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2" w:name="page123"/>
    <w:bookmarkEnd w:id="122"/>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2020 LTIP permits grants of options or conditional awards in relation to Ordinary Shares or ADS’s, and where in relation to options whether the grants are (i) “Regular Options”, (ii) “Short-Term Options”, or (iii) “RSU-style Options”. Options granted as RSU-style options are automatically exercised when the vesting conditions are satisfied.</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2025, we had granted to directors, employees and consultants, 2,987,068,184 Regular options and 1,246,287 RSU-style options to purchase ordinary shares under the 2020 LTIP. Options to purchase 375,548 had been exercised at December 31, 2024, and a further 29,123 were exercised in 2025. Of the remaining options granted under this scheme, 1,634,849,519 had vested at December 31, 2025, 33,746,167 had been forfeited or cancelled, and the remaining 1,319,314,116 are unvested.</w:t>
      </w:r>
    </w:p>
    <w:p>
      <w:pPr>
        <w:spacing w:after="0" w:line="68"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of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option granted under the 2020 LTIP entitles the option holder, subject to the satisfaction, waiver or acceleration of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conditions, to subscribe for ordinary shares.</w:t>
      </w:r>
    </w:p>
    <w:p>
      <w:pPr>
        <w:spacing w:after="0" w:line="47"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Alternative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option granted under the 2020 LTIP may be settled in cash as an alternative to the right to subscribe for ordinary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 to settle in cash is reserved for the Remuneration Committee to determine.</w:t>
      </w:r>
    </w:p>
    <w:p>
      <w:pPr>
        <w:spacing w:after="0" w:line="4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Exercise Conditions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granted under our 2020 LTIP may be granted subject to vesting schedules, performance targets or other conditions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must be satisfied or waived before exercise. Exercise conditions may be removed or varied by our board of directors, provided that any variation shall be (in the reasonable opinion of our board of directors) no more difficult to satisfy than the original exercise condition.</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Each option grant is documented through an option agreement. Most of the option agreements entered into under the 2020 LTIP provide that all unvested options shall immediately vest if, following one of the Takeover and Corporate Events listed below, the option holder (i) remains an eligible employee for the purpose of the plan; and (ii) has experienced a material reduction in base compensation that was payable as of the date of grant or has otherwise experienced a material change or reduction in authority, duties, reporting or responsibilities.</w:t>
      </w:r>
    </w:p>
    <w:p>
      <w:pPr>
        <w:spacing w:after="0" w:line="6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Leaver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 option holder ceases to be an employee, director or consultant of the company or a subsidiary for a variety of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ill health, retirement, sale of a subsidiary company or part of the business to a third party, or if his employment/directorship ceases for any reason apart from summary dismissal from fraud or gross misconduct) then the option holder may exercise his options during the 12 months after the date of such cessation of employment/directorship only to the extent that any exercise conditions have been met at the time of such cessation of employment/directorship. Any part of an option in respect of which the relevant exercise conditions have not been met at the point at which the option holder ceases his employment/directorship shall lapse.</w:t>
      </w:r>
    </w:p>
    <w:p>
      <w:pPr>
        <w:spacing w:after="0" w:line="74"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Lapse of Options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not otherwise lapsed in accordance with the provisions of the 2020 LTIP, an option granted under the 2020 LTIP shall lapse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5p.m. on the day before the 10th anniversary of the grant of the option.</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an option holder dies, his personal representatives may exercise his options within a period ending on the earlier of (i) the expiry of 12 months after the date of death, and (ii) 5 p.m. on the day before the 10th anniversary of the grant of the option, only to the extent that any exercise conditions have been met at the time of death. Failing such exercise, the deceased option holder’s options shall lapse.</w:t>
      </w:r>
    </w:p>
    <w:p>
      <w:pPr>
        <w:spacing w:after="0" w:line="6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Takeovers and Corporate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any person or group of persons acting in concert obtains control (as defined in section 840 of ICTA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now contained in section 995 of ITA) of the company, as a result of making either (i) an offer to acquire shares amounting to more than 50% of the issued share capital of the company on a condition such that if it is satisfied the person or group of persons will have control of the company, or (ii) a general offer to acquire all of the issued share capital of the company (or all of the ordinary shares of the company in issue); or (b) any person becomes entitled or bound to acquire shares in the company under sections 974 to 991 of the Companies Act 2006; or (c) under sections 895 to 901 of the Companies Act 2006 the courts of England and Wales sanction a compromise or arrangement proposed for the purpose of or in connection with a scheme for the reconstruction of the company or its amalgamation with any other company or companies, and, in each case an option holder’s option agreement expressly so provides, an option holder may at any time exercise his or her options or any part thereof which has not lapsed within a specified period. To the extent they are not exercised, such options will lapse at the end of the specified period for exercise.</w:t>
      </w:r>
    </w:p>
    <w:p>
      <w:pPr>
        <w:spacing w:after="0" w:line="80"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Adjustment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there is any variation in our share capital that affects the value of the options, our board of directors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such adjustments to the number and exercise price of shares subject to each option or the option price as our board of directors considers appropriate in accordance with the rules of the 2020 LTIP.</w:t>
      </w:r>
    </w:p>
    <w:p>
      <w:pPr>
        <w:spacing w:after="0" w:line="63"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options under the 2020 LTIP may be transferred, assigned or have any charge created over them and will lapse immediately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attempt to do so.</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3" w:name="page124"/>
    <w:bookmarkEnd w:id="123"/>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may amend the 2020 LTIP, provided that any amendment shall not, without the consent of an option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materially increase his or her liabilities or materially decrease the value of his or her subsisting rights under an outstanding option.</w:t>
      </w:r>
    </w:p>
    <w:p>
      <w:pPr>
        <w:spacing w:after="0" w:line="5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amendment to the scheme shall take effect without the requirement for the prior approval of our shareholders, except as otherwise required by applicable laws or the rules of any securities exchange on which our securities are listed.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Company Share Option Plan (2020 CSOP)</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June 25, 2020, we adopted a share option plan, or the 2020 CSOP. The CSOP is an option scheme that provides for the grant of options under a Company Share Option Plan in accordance with Schedule 4 of the Income Tax (Earnings and Pensions) Act 2003 which affords some tax advantages to the option holder. Grants under the CSOP would only be applicable to U.K. taxpayers. As of December 31, 2025, we have not granted any options under the 2020 CSOP.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points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CSOP options must only be granted to full-time directors or employees;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recipient can receive options to buy company shares worth up to £60,000 (as valued (ignoring any restrictions) at the date of grant or such earlier agreed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grant of the CSOP option, there is generally no liability to income tax or NICs (employee’s and employer’s) unless the exercise price (together with any grant price) is less than the market value of the shares at the date of grant;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income tax or NICs will be payable on the exercise of a tax advantaged CSOP option if the CSOP option is exercised whilst the scheme is still a tax advantaged scheme and the option is exercised;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tenth anniversary of the date of grant of the option, and either;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third anniversary of the date of grant; or</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CSOP, prior to the third anniversary of the date of grant and, broadly, within six months of certain takeover events;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capital gains tax (CGT) payable on the grant or exercise of a qualifying CSOP option. On sale of the option shares, CGT may be payable on any gain;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CSOP scheme rules include the concept of a vesting requirement before they can be exercised and CSOP option awards are generally structured so that they do not become exercisable/vest earlier than three years from grant so that they provide the preferential tax treatment to the option holder;</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which have not vested on an option holder’s cessation of employment lapse;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indemnifies the Company in relation to Tax Liabilities (as defined in the CSOP rules).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Trust</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December 19, 2011, we established a discretionary employee benefit trust under the terms of a trust deed, or the Employee Benefit Trust, to operate in conjunction with our share option schemes. The beneficiaries of the Employee Benefit Trust are our employees and former employees (including executive directors) and their spouses, civil partners, surviving spouses and civil partners, children and step-children under the age of 18. The trustee of the Employee Benefit Trust is NuCana BioMed Trustee Company Limited, or the Trustee, our wholly owned subsidiary. As of December 31, 2025, the Trustee holds 500,000 of our ordinary shares in trust under the terms of the trust deed, which, pursuant to the terms of our three option schemes, and at the election of the Trustee, may be used to satisfy awards under our share option schemes. Under the terms of the trust deed, unless we direct otherwise, the Trustee must abstain from voting at a general meeting any of our shares held in the trust fund for which the Trustee holds the whole of the beneficial interest.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December 1, 2023, our Board adopted a Clawback Policy providing for the recovery of certain incentive-based compensation from current and former executive officers of the Company in the event the we are required to restate any of our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Nasdaq listing standards introduced pursuant to Exchange Act Rule 10D-1. The Clawback Policy is in addition to Section 304 of the Sarbanes-Oxley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herewith as Exhibit 97.1.</w:t>
      </w: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Director Independence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currently composed of five members. Under the rules and regulations of Nasdaq a director will qualify as “independent” if our board of directors affirmatively determines that he or she has no material relationship with us (either directly or as a partner, stockholder or officer of an organization that has a relationship with us). Our board of directors has established guidelines to assist it in determining whether a director has such a material relationship. Ownership of a significant amount of our shares, by itself, does not constitute a material relationship.</w:t>
      </w:r>
    </w:p>
    <w:p>
      <w:pPr>
        <w:spacing w:after="0" w:line="7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Pursuant to Nasdaq rules, a director employed by us cannot be deemed to be an “independent director,” and consequently Hugh Griffith and Andrew Kay do not qualify as independent directors.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on this review, our board of directors has determined that the following directors are “independent directors” as defined by the applicable rules and regulations of Nasdaq: Martin Mellish, Cyrille Leperlier, and Elliott Levy.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executive officers are selected by and serve at the discretion of our board of directors. Our board of directors is divided into three classes, with the members of each class serving staggered three year terms. See “Memorandum and Articles of Association — Directors — Classified board of directors” in this Annual Report for a description of each director’s current term of office.</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 between us and any of the members of our board of directors providing for benefits upon termination of their service.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Corporate Governance</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rules of Nasdaq permit a foreign private issuer to follow its home country practice in lieu of the listing requirements of Nasdaq.</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committees of our board of directors consist of an audit committee, a remuneration committee, a nominations committee and a development committee. As permitted by home country practice, our remuneration and nominations committees may include non-independent directors. Each of these committees has the responsibilities described below. Our board of directors may also establish other committees from time to time to assist in the discharge of its responsibilities.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members of our audit committee are currently two of our non-executive directors, Martin Mellish and Cyrille Leperlier. Each of these members is an “independent director” as such term is defined in Rule 10A-3 under the Exchange Act. Mr. Mellish serves as chair of the audit committee, a role he assumed in March 2025. Our board of directors has determined that Mr. Mellish is a financial expert as contemplated by the rules of the SEC implementing Section 407 of the Sarbanes Oxley Act of 2002. Our audit committee meets at least four times per year and oversees the monitoring of our internal controls, accounting policies and financial reporting and provides a forum through which our external auditors and independent registered public accounting firm reports. Our audit committee meets at least once a year with the external auditors and our independent registered public accounting firm without executive board members present. The audit committee is also responsible for overseeing the activities of the external auditors and our independent registered public accounting firm, including their appointment, reappointment, or removal as well as monitoring their objectivity and independence. The audit committee also reviews and approves the fees paid to our external auditors and independent registered public accounting firm and determines whether the fee levels for non-audit services, individually and in aggregate, relative to the audit fee are appropriate so as not to undermine their independence.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members of the remuneration committee are two of our non-executive directors, Andrew Kay and Elliott Levy. Each of these non-executive director members is a non-employee director as defined in Rule 166-3 under the Exchange Act. Dr. Levy is an outside director as defined in Section 162(m) of the Internal Revenue Code of 1986, as amended. Mr. Kay serves as chair of the remuneration committee. Our remuneration committee reviews, among other things, the performance of the executive officers and sets the scale and structure of their remuneration and the basis of their service agreements with due regard to the interests of the shareholders. It is a policy of the remuneration committee that no individual participates in discussions or decisions concerning his or her own remuneration.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members of the nominating and governance committee are Hugh Griffith and our non-executive director, Andrew Kay. Mr. Kay serves as chair of the nominating and governance committee and oversees the evaluation of the board of directors’ performance. The nominating and governance committee meets at least twice a year and reviews the structure, size and composition of the board of directors, supervises the selection and appointment process of directors, making recommendations to the board of directors with regard to any changes and using an external search consultancy if considered appropriate. For new appointments, the nominating and governance committee makes a final recommendation to the board of directors, and the board of directors has the opportunity to meet the candidate prior to approving the appointment. Once appointed, the nominating and governance committee oversees the induction of new directors and provides the appropriate training to the board of directors during the course of the year in order to ensure that they have the knowledge and skills necessary to operate effectively. The nominating and governance committee is also responsible for annually evaluating the performance of the board of directors, both on an individual basis and for the board of directors as a whole, taking into account such factors as attendance record, contribution during board of directors meetings and the amount of time that has been dedicated to board matters during the course of the year.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Committee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members of the development committee were two of our non-executive directors, Elliott Levy and Cyrille Leperlier. Dr. Leperlier served as chair of the development committee. The development committee met at least twice a year and reviewed and advised the board of directors on our strategic direction and investment in the research and development of our pipeline and products. It was a policy of the development committee that majority of the members of the committee were independent non-employee directors and in addition to the independence standard required for membership, all members were required to disclose any personal financial interests known to the development committee as soon as any such interest arises. In December 2025, the Development Committee ceased to exist, and its duties and responsibilities were assumed by our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covers a broad range of matters including the handling of conflicts of interest, compliance issues and other corporate policies such as equal opportunity and non-discrimination standards.</w:t>
      </w:r>
    </w:p>
    <w:p>
      <w:pPr>
        <w:spacing w:after="0" w:line="266" w:lineRule="exact"/>
        <w:rPr>
          <w:sz w:val="20"/>
          <w:szCs w:val="20"/>
          <w:color w:val="auto"/>
        </w:rPr>
      </w:pPr>
    </w:p>
    <w:p>
      <w:pPr>
        <w:ind w:left="360" w:hanging="352"/>
        <w:spacing w:after="0"/>
        <w:tabs>
          <w:tab w:leader="none" w:pos="3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employees by function and geographic location at December 31, 2023, 2024 and 2025 were as follows:</w:t>
      </w:r>
    </w:p>
    <w:p>
      <w:pPr>
        <w:spacing w:after="0" w:line="21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At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40" w:type="dxa"/>
            <w:vAlign w:val="bottom"/>
            <w:gridSpan w:val="2"/>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By Function:</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and administrative</w:t>
            </w:r>
          </w:p>
        </w:tc>
        <w:tc>
          <w:tcPr>
            <w:tcW w:w="7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By Geography:</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121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-1670685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-1670685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-1670685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-1087755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-1087755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-1087755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6" w:name="page127"/>
    <w:bookmarkEnd w:id="126"/>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10 full-time employees and 2 part-time employees. We have never had a work stoppage and none of our employees are covered by collective bargaining agreements or represented by a labor union. We believe our employee relations are good.</w:t>
      </w:r>
    </w:p>
    <w:p>
      <w:pPr>
        <w:spacing w:after="0" w:line="266" w:lineRule="exact"/>
        <w:rPr>
          <w:sz w:val="20"/>
          <w:szCs w:val="20"/>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6.B—Compensation” and “Item 7.A—Major Shareholders.”</w:t>
      </w:r>
    </w:p>
    <w:p>
      <w:pPr>
        <w:spacing w:after="0" w:line="266" w:lineRule="exact"/>
        <w:rPr>
          <w:sz w:val="20"/>
          <w:szCs w:val="20"/>
          <w:color w:val="auto"/>
        </w:rPr>
      </w:pPr>
    </w:p>
    <w:p>
      <w:pPr>
        <w:ind w:left="520" w:right="4440" w:hanging="512"/>
        <w:spacing w:after="0" w:line="450" w:lineRule="auto"/>
        <w:tabs>
          <w:tab w:leader="none" w:pos="371"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Disclosure of a Registrant’s Action to Recover Erroneously Awarded Compensation </w:t>
      </w:r>
      <w:r>
        <w:rPr>
          <w:rFonts w:ascii="Times New Roman" w:cs="Times New Roman" w:eastAsia="Times New Roman" w:hAnsi="Times New Roman"/>
          <w:sz w:val="17"/>
          <w:szCs w:val="17"/>
          <w:color w:val="auto"/>
        </w:rPr>
        <w:t>For information regarding the Clawback Policy, see “Item 6.B—Compensation.”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720" w:hanging="712"/>
        <w:spacing w:after="0"/>
        <w:tabs>
          <w:tab w:leader="none" w:pos="7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right="240" w:firstLine="495"/>
        <w:spacing w:after="0" w:line="282" w:lineRule="auto"/>
        <w:rPr>
          <w:sz w:val="20"/>
          <w:szCs w:val="20"/>
          <w:color w:val="auto"/>
        </w:rPr>
      </w:pPr>
      <w:r>
        <w:rPr>
          <w:rFonts w:ascii="Times New Roman" w:cs="Times New Roman" w:eastAsia="Times New Roman" w:hAnsi="Times New Roman"/>
          <w:sz w:val="18"/>
          <w:szCs w:val="18"/>
          <w:color w:val="auto"/>
        </w:rPr>
        <w:t>The following table and related footnotes set forth information with respect to the beneficial ownership of our ordinary shares as of December 31, 2025 by:</w:t>
      </w:r>
    </w:p>
    <w:p>
      <w:pPr>
        <w:spacing w:after="0" w:line="54"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beneficially owning more than 5% of our share capital as of December 31, 2025;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owned by a person and the percentage ownership of that person, we have included shares that the person has the right to acquire within 60 days from December 31, 2025, including through the exercise of any option, warrant or other right or the conversion of any other security. These ordinary shares, however, are not included in the computation of the percentage ownership of any other person except with respect to the percentage ownership of all board members and executive officers, as a group. Based on our share register and other information made available to us by certain of our shareholders, as of December 31, 2025, there were four U.S. record holders holding 311,015 ordinary shares, representing 0.001% of our issued and outstanding ordinary shares. We had no greater than 5% shareholders as of December 31, 2025.</w:t>
      </w:r>
    </w:p>
    <w:p>
      <w:pPr>
        <w:spacing w:after="0" w:line="189" w:lineRule="exact"/>
        <w:rPr>
          <w:sz w:val="20"/>
          <w:szCs w:val="20"/>
          <w:color w:val="auto"/>
        </w:rPr>
      </w:pPr>
    </w:p>
    <w:p>
      <w:pPr>
        <w:ind w:right="160" w:firstLine="495"/>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of the shareholders in the table below is c/o NuCana plc, 3 Lochside Way, Edinburgh, EH12 9DT, United Kingdom.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Owned(1)</w:t>
            </w:r>
          </w:p>
        </w:tc>
        <w:tc>
          <w:tcPr>
            <w:tcW w:w="7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Hugh Griffith (2)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2,829,961,890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Martin Mellish (3)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77,630,669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Elliott Levy (4)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52,462,163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Cyrille Leperlier (5)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72,289,942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Andrew Kay (6)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116,582,072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Bloss (7)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160,997,582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Harrison (8)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141,992,091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Theresa Bruce (9)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55,139,594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Ian Webster (10)</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131,154,831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of our executive officers and directors, as a group (9 persons)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3,638,210,834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-161925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right"/>
        <w:ind w:left="5480" w:right="5480" w:hanging="5472"/>
        <w:spacing w:after="0" w:line="783" w:lineRule="auto"/>
        <w:tabs>
          <w:tab w:leader="none" w:pos="13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one percent of our ordinary shares.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ind w:left="1020" w:right="140" w:hanging="503"/>
        <w:spacing w:after="0" w:line="266"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owned as shown both in this table and the accompanying footnotes and percentage ownership is based on 20,809,854,947 ordinary shares outstanding on December 31, 2025 after giving effect to the exercise of all outstanding vested options to purchase our ordinary shares held by our executive officers and directors.</w:t>
      </w:r>
    </w:p>
    <w:p>
      <w:pPr>
        <w:spacing w:after="0" w:line="28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1,000,000 ordinary shares, (b) 265,026 ordinary shares in the form of ADSs, and (c) options to purchase 2,828,696,864 ordinary shares that are or will be immediately exercisable within 60 days of December 31, 2025.</w:t>
      </w:r>
    </w:p>
    <w:p>
      <w:pPr>
        <w:spacing w:after="0" w:line="296"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28 ordinary shares, (b) 36,089 ordinary shares in the form of ADSs, and (c) 77,594,552 options to purchase ordinary shares that are or will be immediately exercisable within 60 days of December 31, 2025.</w:t>
      </w:r>
    </w:p>
    <w:p>
      <w:pPr>
        <w:spacing w:after="0" w:line="269"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13 ordinary shares, (b) 18,737 ordinary shares in the form of ADSs, and (c) options to purchase 52,443,413 ordinary shares that are or will be immediately exercisable within 60 days of December 31, 2025.</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72,289,942 ordinary shares that are or will be immediately exercisable within 60 days of December 31, 2025.</w:t>
      </w:r>
    </w:p>
    <w:p>
      <w:pPr>
        <w:spacing w:after="0" w:line="33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116,582,072 ordinary shares that are or will be immediately exercisable within 60 days of December 31, 2025.</w:t>
      </w:r>
    </w:p>
    <w:p>
      <w:pPr>
        <w:spacing w:after="0" w:line="269"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47,136 ordinary shares and (b) 160,950,446 options to purchase ordinary shares that are or will be immediately exercisable within 60 days of December 31, 2025.</w:t>
      </w:r>
    </w:p>
    <w:p>
      <w:pPr>
        <w:spacing w:after="0" w:line="269"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141,992,091 ordinary shares that are or will be immediately exercisable within 60 days of December 31, 2025.</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55,139,594 ordinary shares that are or will be immediately exercisable within 60 days of December 31, 2025.</w:t>
      </w:r>
    </w:p>
    <w:p>
      <w:pPr>
        <w:spacing w:after="0" w:line="225"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131,154,831 ordinary shares that are or will be immediately exercisable within 60 days of December 31, 2025.</w:t>
      </w:r>
    </w:p>
    <w:p>
      <w:pPr>
        <w:spacing w:after="0" w:line="162" w:lineRule="exact"/>
        <w:rPr>
          <w:sz w:val="20"/>
          <w:szCs w:val="20"/>
          <w:color w:val="auto"/>
        </w:rPr>
      </w:pPr>
    </w:p>
    <w:p>
      <w:pPr>
        <w:ind w:right="160" w:firstLine="495"/>
        <w:spacing w:after="0" w:line="282" w:lineRule="auto"/>
        <w:rPr>
          <w:sz w:val="20"/>
          <w:szCs w:val="20"/>
          <w:color w:val="auto"/>
        </w:rPr>
      </w:pPr>
      <w:r>
        <w:rPr>
          <w:rFonts w:ascii="Times New Roman" w:cs="Times New Roman" w:eastAsia="Times New Roman" w:hAnsi="Times New Roman"/>
          <w:sz w:val="18"/>
          <w:szCs w:val="18"/>
          <w:color w:val="auto"/>
        </w:rPr>
        <w:t>To our knowledge, other than as provided in the table above, our other filings with the SEC, including, without limitation, Schedule 13 filings, and this Annual Report, there has been no significant change in the percentage ownership held by any major shareholder since January 1, 2023.</w:t>
      </w:r>
    </w:p>
    <w:p>
      <w:pPr>
        <w:spacing w:after="0" w:line="162" w:lineRule="exact"/>
        <w:rPr>
          <w:sz w:val="20"/>
          <w:szCs w:val="20"/>
          <w:color w:val="auto"/>
        </w:rPr>
      </w:pPr>
    </w:p>
    <w:p>
      <w:pPr>
        <w:ind w:right="80" w:firstLine="495"/>
        <w:spacing w:after="0" w:line="282" w:lineRule="auto"/>
        <w:rPr>
          <w:sz w:val="20"/>
          <w:szCs w:val="20"/>
          <w:color w:val="auto"/>
        </w:rPr>
      </w:pPr>
      <w:r>
        <w:rPr>
          <w:rFonts w:ascii="Times New Roman" w:cs="Times New Roman" w:eastAsia="Times New Roman" w:hAnsi="Times New Roman"/>
          <w:sz w:val="18"/>
          <w:szCs w:val="18"/>
          <w:color w:val="auto"/>
        </w:rPr>
        <w:t>The shareholders listed above do not have voting rights with respect to their ordinary shares that are different from the voting rights of other holders of our ordinary shares.</w:t>
      </w:r>
    </w:p>
    <w:p>
      <w:pPr>
        <w:spacing w:after="0" w:line="200" w:lineRule="exact"/>
        <w:rPr>
          <w:sz w:val="20"/>
          <w:szCs w:val="20"/>
          <w:color w:val="auto"/>
        </w:rPr>
      </w:pPr>
    </w:p>
    <w:p>
      <w:pPr>
        <w:spacing w:after="0" w:line="282" w:lineRule="exact"/>
        <w:rPr>
          <w:sz w:val="20"/>
          <w:szCs w:val="20"/>
          <w:color w:val="auto"/>
        </w:rPr>
      </w:pPr>
    </w:p>
    <w:p>
      <w:pPr>
        <w:ind w:left="720" w:hanging="712"/>
        <w:spacing w:after="0"/>
        <w:tabs>
          <w:tab w:leader="none" w:pos="7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33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between January 1, 2025 and March 1, 2026 with any members of our board of directors or executive officers or the holders of more than 5% of our share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Executive Officers and Directors</w:t>
      </w:r>
    </w:p>
    <w:p>
      <w:pPr>
        <w:spacing w:after="0" w:line="121"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18"/>
          <w:szCs w:val="18"/>
          <w:color w:val="auto"/>
        </w:rPr>
        <w:t>We have entered into service agreements with each of our executive officers as follows: each of Hugh Griffith and David Harrison in 2017, Ian Webster in 2019, Jeffrey Bloss in 2021, and Theresa Bruce in 2026. In addition, we entered into a service agreement with our former Chief Financial Officer, Donald Munoz, in 2017. Mr. Munoz departed from the Company effective February 7, 2025 and his service agreement was terminated at that time.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3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have entered into deeds of indemnity with each of our directors and executive officers. See “Management — Compensation — Insurance and Indemnification.”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have adopted a related person transaction policy requiring that all related person transactions required to be disclosed by a foreign private issuer pursuant to the Exchange Act be approved by the audit committee or another independent body of our board of directors.</w:t>
      </w:r>
    </w:p>
    <w:p>
      <w:pPr>
        <w:spacing w:after="0" w:line="158" w:lineRule="exact"/>
        <w:rPr>
          <w:sz w:val="20"/>
          <w:szCs w:val="20"/>
          <w:color w:val="auto"/>
        </w:rPr>
      </w:pPr>
    </w:p>
    <w:p>
      <w:pPr>
        <w:ind w:left="720" w:hanging="712"/>
        <w:spacing w:after="0"/>
        <w:tabs>
          <w:tab w:leader="none" w:pos="7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720" w:hanging="712"/>
        <w:spacing w:after="0"/>
        <w:tabs>
          <w:tab w:leader="none" w:pos="7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 dividend, and we do not anticipate declaring or paying dividends in the foreseeable future. We intend to retain all available funds and any future earnings to fund the development and expansion of our business.</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80" w:lineRule="exact"/>
        <w:rPr>
          <w:sz w:val="20"/>
          <w:szCs w:val="20"/>
          <w:color w:val="auto"/>
        </w:rPr>
      </w:pPr>
    </w:p>
    <w:p>
      <w:pPr>
        <w:ind w:left="720" w:hanging="712"/>
        <w:spacing w:after="0"/>
        <w:tabs>
          <w:tab w:leader="none" w:pos="7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Any significant changes since December 31, 2025 are disclosed in Note 21 to the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337"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The ADSs were listed on The Nasdaq Global Select Market under the symbol “NCNA” since October 2, 2017. On November 9, 2023 we transferred our listing to The Nasdaq Capital Market.</w:t>
      </w:r>
    </w:p>
    <w:p>
      <w:pPr>
        <w:spacing w:after="0" w:line="54"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8"/>
          <w:szCs w:val="18"/>
          <w:color w:val="auto"/>
        </w:rPr>
        <w:t>On April 16, 2024, we effected a ratio change of our ADSs to our ordinary shares, from one ADS, representing one ordinary share, to one ADS, representing twenty-five ordinary shares, or the 2024 ADS Ratio Change. The change was made to enable the Company to regain compliance with the Nasdaq minimum bid price requirement.</w:t>
      </w:r>
    </w:p>
    <w:p>
      <w:pPr>
        <w:spacing w:after="0" w:line="68"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On August 11, 2025, we effected a ratio change of our ADSs to our ordinary shares, from one ADS, representing twenty-five ordinary shares, to one ADS, representing five thousand ordinary shares, or the 2025 ADS Ratio Change. The change was made to enable the Company to regain compliance with the Nasdaq minimum bid price requirement.</w:t>
      </w:r>
    </w:p>
    <w:p>
      <w:pPr>
        <w:spacing w:after="0" w:line="68" w:lineRule="exact"/>
        <w:rPr>
          <w:sz w:val="20"/>
          <w:szCs w:val="20"/>
          <w:color w:val="auto"/>
        </w:rPr>
      </w:pPr>
    </w:p>
    <w:p>
      <w:pPr>
        <w:jc w:val="both"/>
        <w:ind w:firstLine="488"/>
        <w:spacing w:after="0" w:line="282" w:lineRule="auto"/>
        <w:rPr>
          <w:sz w:val="20"/>
          <w:szCs w:val="20"/>
          <w:color w:val="auto"/>
        </w:rPr>
      </w:pPr>
      <w:r>
        <w:rPr>
          <w:rFonts w:ascii="Times New Roman" w:cs="Times New Roman" w:eastAsia="Times New Roman" w:hAnsi="Times New Roman"/>
          <w:sz w:val="18"/>
          <w:szCs w:val="18"/>
          <w:color w:val="auto"/>
        </w:rPr>
        <w:t>Unless specified otherwise, all references in this annual report to ADS share and ADS per share data have been adjusted, including historical data which has been retroactively adjusted, to give effect to the 2025 ADS Ratio Change.</w:t>
      </w:r>
    </w:p>
    <w:p>
      <w:pPr>
        <w:spacing w:after="0" w:line="158" w:lineRule="exact"/>
        <w:rPr>
          <w:sz w:val="20"/>
          <w:szCs w:val="20"/>
          <w:color w:val="auto"/>
        </w:rPr>
      </w:pPr>
    </w:p>
    <w:p>
      <w:pPr>
        <w:ind w:left="520" w:right="9340" w:hanging="512"/>
        <w:spacing w:after="0" w:line="450" w:lineRule="auto"/>
        <w:tabs>
          <w:tab w:leader="none" w:pos="371"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ADSs were listed on The Nasdaq Global Select Market under the symbol “NCNA” since October 2, 2017. On November 9, 2023 we transferred our listing to The Nasdaq Capital Market. On April 16, 2024, we effected the 2024 ADS Ratio Change so that one ADS represented twenty-five ordinary shares. On August 11, 2025, we effected the 2025 ADS Ratio Change so that one ADS now represents five thousand ordinary shares.</w:t>
      </w:r>
    </w:p>
    <w:p>
      <w:pPr>
        <w:spacing w:after="0" w:line="280" w:lineRule="exact"/>
        <w:rPr>
          <w:sz w:val="20"/>
          <w:szCs w:val="20"/>
          <w:color w:val="auto"/>
        </w:rPr>
      </w:pPr>
    </w:p>
    <w:p>
      <w:pPr>
        <w:ind w:left="520" w:right="9280" w:hanging="512"/>
        <w:spacing w:after="0" w:line="412" w:lineRule="auto"/>
        <w:tabs>
          <w:tab w:leader="none" w:pos="37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Selling Shareholders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right="9240" w:hanging="512"/>
        <w:spacing w:after="0" w:line="412" w:lineRule="auto"/>
        <w:tabs>
          <w:tab w:leader="none" w:pos="37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00" w:lineRule="exact"/>
        <w:rPr>
          <w:sz w:val="20"/>
          <w:szCs w:val="20"/>
          <w:color w:val="auto"/>
        </w:rPr>
      </w:pPr>
    </w:p>
    <w:p>
      <w:pPr>
        <w:spacing w:after="0" w:line="349" w:lineRule="exact"/>
        <w:rPr>
          <w:sz w:val="20"/>
          <w:szCs w:val="20"/>
          <w:color w:val="auto"/>
        </w:rPr>
      </w:pPr>
    </w:p>
    <w:p>
      <w:pPr>
        <w:ind w:left="380" w:right="9700" w:hanging="372"/>
        <w:spacing w:after="0" w:line="375" w:lineRule="auto"/>
        <w:tabs>
          <w:tab w:leader="none" w:pos="36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1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copy of our Articles of Association is attached as Exhibit 1.1 to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were incorporated in England and Wales with the Registrar of Companies of England and Wales, United Kingdom on January 28, 1997 under the name Biomed (UK) Limited as a private company limited by shares with company number 03308778.</w:t>
      </w:r>
    </w:p>
    <w:p>
      <w:pPr>
        <w:spacing w:after="0" w:line="54" w:lineRule="exact"/>
        <w:rPr>
          <w:sz w:val="20"/>
          <w:szCs w:val="20"/>
          <w:color w:val="auto"/>
        </w:rPr>
      </w:pPr>
    </w:p>
    <w:p>
      <w:pPr>
        <w:jc w:val="both"/>
        <w:ind w:firstLine="371"/>
        <w:spacing w:after="0" w:line="282" w:lineRule="auto"/>
        <w:rPr>
          <w:sz w:val="20"/>
          <w:szCs w:val="20"/>
          <w:color w:val="auto"/>
        </w:rPr>
      </w:pPr>
      <w:r>
        <w:rPr>
          <w:rFonts w:ascii="Times New Roman" w:cs="Times New Roman" w:eastAsia="Times New Roman" w:hAnsi="Times New Roman"/>
          <w:sz w:val="18"/>
          <w:szCs w:val="18"/>
          <w:color w:val="auto"/>
        </w:rPr>
        <w:t>On April 28, 2008, our name was changed to NuCana BioMed Limited. On August 29, 2017, with the required shareholder approvals, we re-registered as a public limited company and changed our name to NuCana plc.</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current Articles of Association were adopted by the passing of a special resolution of our shareholders on April 23, 2025.</w:t>
      </w:r>
    </w:p>
    <w:p>
      <w:pPr>
        <w:spacing w:after="0" w:line="11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registered office is located at 77/78 Cannon Street, London, EC4N 6AF, United Kingdom. The principal legislation under which we operate and our shares are issued is the Companies Act 2006.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Share Capital</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issued share capital as of December 31, 2025 is £14,340,128 divided into 20,809,854,947 ordinary shares and 15,040,465,803 deferred shares, in each case, of £0.0004 each.</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2023 we issued 408,015 ordinary shares pursuant to our ATM sales agreement, and 79,433 ordinary shares pursuant to the exercise of share options.</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2024, we issued 89,027,545 ordinary shares pursuant to our “at-the-market” (ATM) sales agreement with Jefferies, and 149,319 ordinary shares pursuant to the exercise of share options.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April 23, 2025, we subdivided and redesignated the issued share capital of £6,076,956 being represented by 151,923,897 ordinary shares of £0.04 each into £6,076,956 being represented by 151,923,897 ordinary shares and 15,040,465,803 deferred shares, in each case, of £0.0004 each.</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2025, we issued a total of (i) 9,857,575 ordinary shares pursuant to our ATM sales agreement with Jefferies, (ii) 9,388,967,250 ordinary shares pursuant to our registered direct offering in May 2025, (iii) 11,268,963,800 ordinary shares pursuant to our ATM sales agreement with A.G.P. and Laidlaw, and (iv) 29,123 ordinary shares pursuant to the exercise of share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and American Depository Shares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we had issued and outstanding 20,809,854,947 ordinary shares of £0.0004 each. Each issued ordinary share is fully paid.</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share held of record on all matters submitted to a vote of shareholders and do not have cumulative voting rights.</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distribution made as a result of winding-up, dissolution or liquidation of our company and any dividend declared will be distributed in proportion to the number of fully paid ordinary shares held.</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the Company had issued and outstanding 4,160,271 ADSs, each representing five thousand of these ordinary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Shares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deferred shares of £0.0004 each have no voting rights and carry no rights to receive any profits, capital or assets of the Company whether by dividend or otherwise save that upon a return of capital on a winding up of the Company (but not otherwise), the right only to receive the amount paid up thereon after the holders of the ordinary shares have received the amounts entitled to be paid to holders of ordinary shares in our share capital and the further payment of £10,000,000 in respect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82" w:lineRule="auto"/>
        <w:rPr>
          <w:sz w:val="20"/>
          <w:szCs w:val="20"/>
          <w:color w:val="auto"/>
        </w:rPr>
      </w:pPr>
      <w:r>
        <w:rPr>
          <w:rFonts w:ascii="Times New Roman" w:cs="Times New Roman" w:eastAsia="Times New Roman" w:hAnsi="Times New Roman"/>
          <w:sz w:val="18"/>
          <w:szCs w:val="18"/>
          <w:color w:val="auto"/>
        </w:rPr>
        <w:t>of each ordinary share. No share certificates will be issued in respect of the deferred shares and the CREST accounts of holders of ordinary shares will not be credited with any deferred shares.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rights of the deferred shares are set out in article 4.8 of the articles of association adopted on April 23, 2025.</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Deferred shares are commonly used by U.K. public companies to restructure the nominal value of their ordinary share capital. Once created for this reason, it is not uncommon for deferred shares to be cancelled without payment to the holder thereof using one of the procedures available to a company under U.K. company law.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jc w:val="both"/>
        <w:ind w:firstLine="568"/>
        <w:spacing w:after="0" w:line="261" w:lineRule="auto"/>
        <w:rPr>
          <w:sz w:val="20"/>
          <w:szCs w:val="20"/>
          <w:color w:val="auto"/>
        </w:rPr>
      </w:pPr>
      <w:r>
        <w:rPr>
          <w:rFonts w:ascii="Times New Roman" w:cs="Times New Roman" w:eastAsia="Times New Roman" w:hAnsi="Times New Roman"/>
          <w:sz w:val="18"/>
          <w:szCs w:val="18"/>
          <w:color w:val="auto"/>
        </w:rPr>
        <w:t>We have established equity incentive plans pursuant to which we have issued options to purchase ordinary shares to our officers, employees, consultants and directors. On June 16, 2025, our board of directors approved the grant of options to purchase an aggregate of 3,478,076,732 ordinary shares to our officers, employees, consultants and directors pursuant to our existing equity incentive plans, which were subsequently granted on June 20, 2025. As at December 31, 2025, there are 3,426,010,689 ordinary shares issuable upon exercise of outstanding options under our equity incentive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certain provisions of our articles of association. Please note that this is only a summary and is not intended to be exhaustive. For further information please refer to the full version of our articles of association, which is included as an exhibit to this Annual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and Rights Attaching to Them</w:t>
      </w:r>
    </w:p>
    <w:p>
      <w:pPr>
        <w:spacing w:after="0" w:line="11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ordinary shares have the same rights and rank pari passu in all respects. Subject to the provisions of the Companies Act 2006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relevant legislation, our board of directors may, from time to time, allot and issue shares following an ordinary resolution of the shareholders granting authority to the directors to allot shares (and if applicable, and not already disapplied, a special resolution to disapply pre-emption rights).</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shares may be issued with or have attached to them any preferred, deferred, qualified or other special rights or restrictions, whether in relation to dividends, returns of capital, voting or otherwise, as set out in our articles of association or as the shareholders may determine by ordinary resolution (or, if the shareholders have not so determined, as our board of directors may determine).</w:t>
      </w:r>
    </w:p>
    <w:p>
      <w:pPr>
        <w:spacing w:after="0" w:line="6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any other provisions of our articles of association and without prejudice to any special rights, privileges or restrictions as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attached to any shares forming part of our share capital, the voting rights of shareholders in respect of their ordinary shares are as follows. Unless a poll vote is demanded, shareholders shall vote on all resolutions on a show of hands. Our articles of association provide that a poll vote may be demanded before, or on the declaration of, the result of a vote on a show of hands: (a) by the chairman of a general meeting, (b) by at least five shareholders present at a meeting and entitled to vote, or (c) by any shareholder or shareholders present representing not less than 10% of the total voting rights or more than 10% of the total sum paid up on all voting shares. For these purposes, a shareholder will be present at a meeting if attending in person, by proxy, or, in the case of a shareholder that is a corporation (as broadly defined under the Companies Act 2006), by duly authorized representatives.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 show of hands, each shareholder present in person, and each duly authorized representative present in person of a shareholder that is a corporation, has one vote. On a show of hands, each proxy present in person who has been duly appointed by one or more shareholders has one vote, but a proxy has one vote for and one vote against a resolution if the proxy is instructed to vote on a resolution by more than one shareholder and is instructed to vote in different ways on such resolution.</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a poll, each shareholder present in person or by proxy or, with respect to a corporation, by a duly authorized representative has one vote for each ordinary share held by the shareholder. We are prohibited from exercising any rights to attend or vote at meetings in respect of any shares held by us as treasury shares.</w:t>
      </w:r>
    </w:p>
    <w:p>
      <w:pPr>
        <w:spacing w:after="0" w:line="64"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voting where sums overdue on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our shareholders is entitled to vote at any general meeting or at any separate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in respect of any share held by him or her unless all calls or other sums payable by him or her in respect of that share have been paid.</w:t>
      </w:r>
    </w:p>
    <w:p>
      <w:pPr>
        <w:spacing w:after="0" w:line="4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Calls on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directors may from time to time make calls on shareholders in respect of any amounts unpaid on their shares, whether in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nominal value of the shares or by way of premium. Shareholders are required to pay the called amount on shares subject to receiving at least 14 clear days’ notice specifying the time and place for payment. Under our articles of association, a period of “clear days” excludes the day on which a notice is given or deemed to have been given and the day for which it is given or on which it is to take effect. If a shareholder fails to pay any part of a call, the board of directors may serve further notice naming another day not being less than 14 clear days from the date of the further notice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p>
      <w:pPr>
        <w:jc w:val="both"/>
        <w:spacing w:after="0" w:line="282" w:lineRule="auto"/>
        <w:rPr>
          <w:sz w:val="20"/>
          <w:szCs w:val="20"/>
          <w:color w:val="auto"/>
        </w:rPr>
      </w:pPr>
      <w:r>
        <w:rPr>
          <w:rFonts w:ascii="Times New Roman" w:cs="Times New Roman" w:eastAsia="Times New Roman" w:hAnsi="Times New Roman"/>
          <w:sz w:val="18"/>
          <w:szCs w:val="18"/>
          <w:color w:val="auto"/>
        </w:rPr>
        <w:t>requiring payment and stating that in the event of non-payment the shares in respect of which the call was made will be liable to be forfeited. Subsequent forfeiture requires a resolution by the board of directors.</w:t>
      </w:r>
    </w:p>
    <w:p>
      <w:pPr>
        <w:spacing w:after="0" w:line="5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Companies Act 2006 and the provisions of all other relevant legislation, we may by ordinary resolution declare dividends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 of profits available for distribution in accordance with the respective rights of shareholders, but no such dividend shall exceed the amount recommended by the board of directors. If, in the opinion of the board of directors, our profits available for distribution justify such payments, the board of directors may pay fixed dividends payable on any of our shares with preferential rights, half-yearly or otherwise, on fixed dates and from time to time pay interim dividends to the holders of any class of shares. Subject to any special rights attaching to, or terms of issue of, any shares, all dividends shall be declared and paid according to the amounts paid up on the shares on which the dividend is paid. No dividend shall be payable to us in respect of any shares held by us as treasury shares.</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may, upon the recommendation of the board of directors, by ordinary resolution, direct payment of a dividend wholly or partly by the distribution of specific assets.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used at the directors’ discretion for our benefit until claimed (subject as provided in the articles of association), and all dividends unclaimed after a period of 12 years from the date when such dividend became due for payment shall be forfeited and shall revert to us.</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board of directors may, if so authorized by ordinary resolution passed at any general meeting, offer any holders of the ordinary shares the right to elect to receive in lieu of that dividend an allotment of ordinary shares credited as fully paid.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cease to send any check or warrant by mail or may stop the transfer of any sum by any bank or other funds transfer system for any dividend payable on any of our shares, which is normally paid in that manner on those shares if in respect of at least two consecutive dividends the check or warrants have been returned undelivered or remain uncashed or the transfer has failed, or in respect of one dividend the check or warrant has been returned undelivered or remains uncashed or the transfer has failed and reasonable inquiries made by us have failed to establish any new address of the holder.</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or the directors may specify a “record date” on which persons registered as the holders of shares shall be entitled to receipt of any dividend.</w:t>
      </w:r>
    </w:p>
    <w:p>
      <w:pPr>
        <w:spacing w:after="0" w:line="113"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Distribution of assets on winding-up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any special rights attaching to, or the terms of issue of any shares, on any winding-up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our surplus assets remaining after satisfaction of our liabilities will be distributed among our shareholders in proportion to their respective holdings of ordinary shares and the amounts paid up on those shares.</w:t>
      </w:r>
    </w:p>
    <w:p>
      <w:pPr>
        <w:spacing w:after="0" w:line="67" w:lineRule="exact"/>
        <w:rPr>
          <w:sz w:val="20"/>
          <w:szCs w:val="20"/>
          <w:color w:val="auto"/>
        </w:rPr>
      </w:pPr>
    </w:p>
    <w:p>
      <w:pPr>
        <w:jc w:val="both"/>
        <w:ind w:firstLine="315"/>
        <w:spacing w:after="0" w:line="266" w:lineRule="auto"/>
        <w:rPr>
          <w:sz w:val="20"/>
          <w:szCs w:val="20"/>
          <w:color w:val="auto"/>
        </w:rPr>
      </w:pPr>
      <w:r>
        <w:rPr>
          <w:rFonts w:ascii="Times New Roman" w:cs="Times New Roman" w:eastAsia="Times New Roman" w:hAnsi="Times New Roman"/>
          <w:sz w:val="18"/>
          <w:szCs w:val="18"/>
          <w:color w:val="auto"/>
        </w:rPr>
        <w:t>Upon a return of capital on a winding up of the company (but not otherwise), the deferred shares shall have the right only to receive the amount paid up thereon after the holders of the ordinary shares have received the amounts entitled to be paid to holders of ordinary shares in our share capital and the further payment of £10,000,000 in respect of each ordinary share.</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any winding-up of the company (whether the liquidation is voluntary, under supervision or by the Court), the liquidator may with the authority of a special resolution of the company and any other sanction required by any relevant legislation, divide among our shareholders (excluding the company itself to the extent that it is a shareholder by virtue of its holding any shares or treasury shares) in specie or in kind the whole or any part of our assets (subject to any special rights attached to any shares issued by us in the future) and may for that purpose set such value as he deems fair upon any one or more class or classes of property and may determine how that division shall be carried out as between the shareholders or different classes of shareholders. The liquidator may, with that sanction, vest the whole or any part of the assets in trustees upon such trusts for the benefit of the shareholders as he with the relevant authority determines, and the liquidation of the company may be closed and the company dissolved, but so that no shareholders shall be compelled to accept any shares or other property in respect of which there is a liability.</w:t>
      </w:r>
    </w:p>
    <w:p>
      <w:pPr>
        <w:spacing w:after="0" w:line="8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Variation of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or privileges attached to any class of shares may (unless otherwise provided by the terms of the issue of the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class or as otherwise provided by our articles of association) be varied or abrogated with the consent in writing of the holders of three-fourths in requisite nominal value of the issued shares of that class (excluding any shares of that class held as treasury shares) or with the approval of a special resolution passed at a separate general meeting of the shareholders of that class, but not otherwise.</w:t>
      </w:r>
    </w:p>
    <w:p>
      <w:pPr>
        <w:spacing w:after="0" w:line="68"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Transfer of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our shares are in registered form and may be transferred by a transfer in any usual or common form or any form acceptable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board of directors and permitted by the Companies Act 2006 and any other relevant legislation, except that the deferred shares may only be transferred with the prior written consent of the directors.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of directors may decline to register a transfer of a share that is:</w:t>
      </w:r>
    </w:p>
    <w:p>
      <w:pPr>
        <w:spacing w:after="0" w:line="117" w:lineRule="exact"/>
        <w:rPr>
          <w:sz w:val="20"/>
          <w:szCs w:val="20"/>
          <w:color w:val="auto"/>
        </w:rPr>
      </w:pPr>
    </w:p>
    <w:p>
      <w:pPr>
        <w:ind w:left="760" w:hanging="378"/>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fully paid or on which we have a lien;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3" w:name="page134"/>
    <w:bookmarkEnd w:id="133"/>
    <w:p>
      <w:pPr>
        <w:ind w:left="760" w:hanging="378"/>
        <w:spacing w:after="0" w:line="282"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uncertificated shares are transferred without a written instrument) not lodged duly stamped (if it is required to be stamped) at our registered office or at such other place as the board of directors may appoint;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certificate has not been issued) not accompanied by the certificate of the share to which it relates or such other evidence reasonably required by the directors to show the right of the transferor to make the transfer;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more than one class of share;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of a share, the number of joint holders to whom the share is to be transferred exceeds four;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deferred shares.</w:t>
      </w:r>
    </w:p>
    <w:p>
      <w:pPr>
        <w:spacing w:after="0" w:line="113" w:lineRule="exact"/>
        <w:rPr>
          <w:sz w:val="20"/>
          <w:szCs w:val="20"/>
          <w:color w:val="auto"/>
        </w:rPr>
      </w:pPr>
    </w:p>
    <w:p>
      <w:pPr>
        <w:jc w:val="both"/>
        <w:ind w:right="2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Capital variations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by ordinary resolution, consolidate and divide all or any of our share capital into shares of a larger nominal amount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existing shares or sub-divide our shares, or any of them, into shares of a smaller nominal amount than our existing shares. Subject to the provisions of the Companies Act 2006 and any other applicable legislation, we may by special resolution reduce our share capital, any capital redemption reserve fund or any share premium account and may redeem or purchase any of our own shares.</w:t>
      </w:r>
    </w:p>
    <w:p>
      <w:pPr>
        <w:spacing w:after="0" w:line="6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Pre-emption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rights of pre-emption under our articles of association in respect of transfers of issued ordinary shares. In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our shareholders may have statutory pre-emption rights under the Companies Act 2006 in respect of the allotment of new shares in the company. These statutory pre-emption rights, when applicable, would require us to offer new shares for allotment to existing shareholders on a pro rata basis before allotting them to other persons. In such circumstances, the procedure for the exercise of such statutory pre-emption rights would be set out in the documentation by which such ordinary shares would be offered to our shareholders. These statutory pre-emption rights may be disapplied by a special resolution passed by shareholders in a general meeting in accordance with the provisions of the Companies Act 2006.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7"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Number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and until we in a general meeting of our shareholders otherwise determine, the number of directors comprising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be subject to any maximum but shall not be less than two.</w:t>
      </w:r>
    </w:p>
    <w:p>
      <w:pPr>
        <w:spacing w:after="0" w:line="4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is divided into three classes, “Class I,” whose initial term expires at the annual general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shareholders to be held in 2026, “Class II,” whose initial term expires at the annual general meeting of the shareholders to be held in 2028, and “Class III”, whose term expires at the annual general meeting of the shareholders to be held in 2027, with the classes as nearly equal in number as possible. The Class I directors are Hugh Griffith and Andrew Kay, the Class II directors are Elliott Levy and Cyrille Leperlier, and the Class III director is Martin Mellish.</w:t>
      </w:r>
    </w:p>
    <w:p>
      <w:pPr>
        <w:spacing w:after="0" w:line="71"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Borrowing powers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may exercise all the powers of the company to borrow money, mortgage or charge all or any part or parts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its undertaking, property and uncalled capital, and issue debentures and other securities whether outright or as collateral security for any debt, liability or obligation of the company or of any third party.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 and restrictions</w:t>
      </w:r>
    </w:p>
    <w:p>
      <w:pPr>
        <w:spacing w:after="0" w:line="121" w:lineRule="exact"/>
        <w:rPr>
          <w:sz w:val="20"/>
          <w:szCs w:val="20"/>
          <w:color w:val="auto"/>
        </w:rPr>
      </w:pPr>
    </w:p>
    <w:p>
      <w:pPr>
        <w:jc w:val="both"/>
        <w:ind w:firstLine="382"/>
        <w:spacing w:after="0" w:line="258" w:lineRule="auto"/>
        <w:tabs>
          <w:tab w:leader="none" w:pos="73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in accordance with our articles of association and the requirements of the Companies Act 2006, authorize a matter proposed to us which would, if not authorized, involve a breach by a director of his or her duty under section 175 of the Companies Act 2006 to avoid a situation in which he or she has, or can have, a direct or indirect interest that conflicts, or possibly may conflict, with our interests. A director is not required, by reason of being a director, to account to the company for any remuneration or other benefit that he or she derives from a relationship involving a conflict of interest or possible conflict of interest that has been authorized by the board of directors.</w:t>
      </w:r>
    </w:p>
    <w:p>
      <w:pPr>
        <w:spacing w:after="0" w:line="75" w:lineRule="exact"/>
        <w:rPr>
          <w:rFonts w:ascii="Times New Roman" w:cs="Times New Roman" w:eastAsia="Times New Roman" w:hAnsi="Times New Roman"/>
          <w:sz w:val="18"/>
          <w:szCs w:val="18"/>
          <w:color w:val="auto"/>
        </w:rPr>
      </w:pPr>
    </w:p>
    <w:p>
      <w:pPr>
        <w:jc w:val="both"/>
        <w:ind w:firstLine="382"/>
        <w:spacing w:after="0" w:line="261" w:lineRule="auto"/>
        <w:tabs>
          <w:tab w:leader="none" w:pos="73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any relevant legislation and provided that he or she has disclosed to the directors the nature and extent of any material interest of his or hers, a director may be a party to, or otherwise interested in, any transaction, contract or arrangement and that director shall not, by reason of his or her office, be accountable to the company for any benefit that he or she derives from any such transaction or arrangement; and no such transaction or arrangement shall be liable to be voided on the ground of any such interest or benefit.</w:t>
      </w:r>
    </w:p>
    <w:p>
      <w:pPr>
        <w:spacing w:after="0" w:line="71" w:lineRule="exact"/>
        <w:rPr>
          <w:rFonts w:ascii="Times New Roman" w:cs="Times New Roman" w:eastAsia="Times New Roman" w:hAnsi="Times New Roman"/>
          <w:sz w:val="18"/>
          <w:szCs w:val="18"/>
          <w:color w:val="auto"/>
        </w:rPr>
      </w:pPr>
    </w:p>
    <w:p>
      <w:pPr>
        <w:jc w:val="both"/>
        <w:ind w:firstLine="382"/>
        <w:spacing w:after="0" w:line="255" w:lineRule="auto"/>
        <w:tabs>
          <w:tab w:leader="none" w:pos="73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our articles of association, a director shall not vote at a meeting of the directors in respect of any transaction or arrangement or any other proposal whatsoever in which he or she has an interest that is to his or her knowledge material (together with any person connected with him or her within the meaning of section 252 of the Companies Act 2006), other than (i) an interest in shares or debentures or other securities of the company, (ii) where permitted by the terms of any authorization of a conflict of interest, or (iii) in the circumstances set out in paragraph</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shall not be counted in the quorum at a meeting in relation to any resolution on which he or she is not entitled to vote.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4" w:name="page135"/>
    <w:bookmarkEnd w:id="134"/>
    <w:p>
      <w:pPr>
        <w:ind w:firstLine="382"/>
        <w:spacing w:after="0" w:line="282" w:lineRule="auto"/>
        <w:tabs>
          <w:tab w:leader="none" w:pos="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(in the absence of some material interest other than those indicated below) be entitled to vote (and be counted in the quorum) in respect of any resolution concerning any of the following matters:</w:t>
      </w:r>
    </w:p>
    <w:p>
      <w:pPr>
        <w:spacing w:after="0" w:line="53" w:lineRule="exact"/>
        <w:rPr>
          <w:rFonts w:ascii="Times New Roman" w:cs="Times New Roman" w:eastAsia="Times New Roman" w:hAnsi="Times New Roman"/>
          <w:sz w:val="18"/>
          <w:szCs w:val="18"/>
          <w:color w:val="auto"/>
        </w:rPr>
      </w:pPr>
    </w:p>
    <w:p>
      <w:pPr>
        <w:ind w:left="380" w:right="20" w:firstLine="376"/>
        <w:spacing w:after="0" w:line="282"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to him or her in respect of money lent to or an obligation incurred by him or her at the request of or for the benefit of us or any of our subsidiaries;</w:t>
      </w:r>
    </w:p>
    <w:p>
      <w:pPr>
        <w:spacing w:after="0" w:line="53" w:lineRule="exact"/>
        <w:rPr>
          <w:rFonts w:ascii="Times New Roman" w:cs="Times New Roman" w:eastAsia="Times New Roman" w:hAnsi="Times New Roman"/>
          <w:sz w:val="18"/>
          <w:szCs w:val="18"/>
          <w:color w:val="auto"/>
        </w:rPr>
      </w:pPr>
    </w:p>
    <w:p>
      <w:pPr>
        <w:ind w:left="380" w:right="20" w:firstLine="376"/>
        <w:spacing w:after="0" w:line="282"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to a third party of any guarantee, security or indemnity in respect of a debt or obligation of ours or any of our subsidiaries for which he himself or she herself has assumed responsibility in whole or in part under a guarantee or indemnity or by the giving of security;</w:t>
      </w:r>
    </w:p>
    <w:p>
      <w:pPr>
        <w:spacing w:after="0" w:line="53"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or contract concerning an offer of shares or debentures or other securities of or by the company or any of its subsidiaries, if he or she takes part because he or she is or may be entitled to participate as a holder of shares, debentures or other securities, or if he or she takes part in the underwriting, sub-underwriting or guarantee of the offer;</w:t>
      </w:r>
    </w:p>
    <w:p>
      <w:pPr>
        <w:spacing w:after="0" w:line="67" w:lineRule="exact"/>
        <w:rPr>
          <w:rFonts w:ascii="Times New Roman" w:cs="Times New Roman" w:eastAsia="Times New Roman" w:hAnsi="Times New Roman"/>
          <w:sz w:val="18"/>
          <w:szCs w:val="18"/>
          <w:color w:val="auto"/>
        </w:rPr>
      </w:pPr>
    </w:p>
    <w:p>
      <w:pPr>
        <w:jc w:val="both"/>
        <w:ind w:left="380" w:firstLine="376"/>
        <w:spacing w:after="0" w:line="261"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concerning any other company in which he or she is interested, directly or indirectly and whether as an officer or shareholder or otherwise, provided that he or she (together with persons connected with him or her) does not to his or her knowledge hold an interest in shares representing one percent or more of the issued shares of any class of such company or of the voting rights available to shareholders of the relevant company;</w:t>
      </w:r>
    </w:p>
    <w:p>
      <w:pPr>
        <w:spacing w:after="0" w:line="71" w:lineRule="exact"/>
        <w:rPr>
          <w:rFonts w:ascii="Times New Roman" w:cs="Times New Roman" w:eastAsia="Times New Roman" w:hAnsi="Times New Roman"/>
          <w:sz w:val="18"/>
          <w:szCs w:val="18"/>
          <w:color w:val="auto"/>
        </w:rPr>
      </w:pPr>
    </w:p>
    <w:p>
      <w:pPr>
        <w:ind w:left="380" w:right="20" w:firstLine="376"/>
        <w:spacing w:after="0" w:line="282"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concerning arrangements pursuant to which benefits are made available to our employees and which does not award him or her any privilege or benefit not generally awarded to the employees to whom such arrangement relates;</w:t>
      </w:r>
    </w:p>
    <w:p>
      <w:pPr>
        <w:spacing w:after="0" w:line="53" w:lineRule="exact"/>
        <w:rPr>
          <w:rFonts w:ascii="Times New Roman" w:cs="Times New Roman" w:eastAsia="Times New Roman" w:hAnsi="Times New Roman"/>
          <w:sz w:val="18"/>
          <w:szCs w:val="18"/>
          <w:color w:val="auto"/>
        </w:rPr>
      </w:pPr>
    </w:p>
    <w:p>
      <w:pPr>
        <w:ind w:left="380" w:right="20" w:firstLine="376"/>
        <w:spacing w:after="0" w:line="282"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under which he or she may benefit concerning the giving of indemnities to our directors or other officers that the directors are empowered to give under our articles of association;</w:t>
      </w:r>
    </w:p>
    <w:p>
      <w:pPr>
        <w:spacing w:after="0" w:line="53"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111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under which he or she may benefit concerning the purchase or maintenance of insurance for any of our directors or other officers; and</w:t>
      </w:r>
    </w:p>
    <w:p>
      <w:pPr>
        <w:spacing w:after="0" w:line="53" w:lineRule="exact"/>
        <w:rPr>
          <w:rFonts w:ascii="Times New Roman" w:cs="Times New Roman" w:eastAsia="Times New Roman" w:hAnsi="Times New Roman"/>
          <w:sz w:val="18"/>
          <w:szCs w:val="18"/>
          <w:color w:val="auto"/>
        </w:rPr>
      </w:pPr>
    </w:p>
    <w:p>
      <w:pPr>
        <w:ind w:left="1480" w:hanging="724"/>
        <w:spacing w:after="0"/>
        <w:tabs>
          <w:tab w:leader="none" w:pos="14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under which he or she may benefit concerning the provision to directors of funds to meet expenditures in defending</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w:t>
      </w:r>
    </w:p>
    <w:p>
      <w:pPr>
        <w:spacing w:after="0" w:line="98" w:lineRule="exact"/>
        <w:rPr>
          <w:rFonts w:ascii="Times New Roman" w:cs="Times New Roman" w:eastAsia="Times New Roman" w:hAnsi="Times New Roman"/>
          <w:sz w:val="18"/>
          <w:szCs w:val="18"/>
          <w:color w:val="auto"/>
        </w:rPr>
      </w:pPr>
    </w:p>
    <w:p>
      <w:pPr>
        <w:jc w:val="both"/>
        <w:ind w:firstLine="382"/>
        <w:spacing w:after="0" w:line="261" w:lineRule="auto"/>
        <w:tabs>
          <w:tab w:leader="none" w:pos="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proposals are under consideration to appoint two or more directors to offices or employments with us or with any company in which we are interested or to fix or vary the terms of such appointments, such proposals may be divided and considered in relation to each director separately and in such case each of the directors concerned (if not debarred from voting under paragraph (d)(iv) above) shall be entitled to vote (and be counted in the quorum) in respect of each resolution, except that concerning his or her own appointment.</w:t>
      </w:r>
    </w:p>
    <w:p>
      <w:pPr>
        <w:spacing w:after="0" w:line="71" w:lineRule="exact"/>
        <w:rPr>
          <w:rFonts w:ascii="Times New Roman" w:cs="Times New Roman" w:eastAsia="Times New Roman" w:hAnsi="Times New Roman"/>
          <w:sz w:val="18"/>
          <w:szCs w:val="18"/>
          <w:color w:val="auto"/>
        </w:rPr>
      </w:pPr>
    </w:p>
    <w:p>
      <w:pPr>
        <w:jc w:val="both"/>
        <w:ind w:firstLine="382"/>
        <w:spacing w:after="0" w:line="261" w:lineRule="auto"/>
        <w:tabs>
          <w:tab w:leader="none" w:pos="73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question shall arise at any meeting as to the materiality of a director’s interest or as to the entitlement of any director to vote and such question is not resolved by his or her agreeing voluntarily to abstain from voting, such question shall be referred to the chairman of the meeting (or where the interest concerns the chairman himself to the deputy chairman of the meeting) and his or her ruling in relation to any director shall be final and conclusive, except in a case where the nature or extent of the interests of the director concerned have not been fairly disclosed.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w:t>
      </w:r>
    </w:p>
    <w:p>
      <w:pPr>
        <w:spacing w:after="0" w:line="121" w:lineRule="exact"/>
        <w:rPr>
          <w:sz w:val="20"/>
          <w:szCs w:val="20"/>
          <w:color w:val="auto"/>
        </w:rPr>
      </w:pPr>
    </w:p>
    <w:p>
      <w:pPr>
        <w:jc w:val="both"/>
        <w:ind w:right="20" w:firstLine="382"/>
        <w:spacing w:after="0" w:line="266" w:lineRule="auto"/>
        <w:tabs>
          <w:tab w:leader="none" w:pos="73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directors (other than alternate directors) may (in addition to any amounts payable under paragraph (b) and (c) below or under any other provision of our articles of association) be paid out of the funds of the company such sum by way of directors’ fees as the board of directors may from time to time determine.</w:t>
      </w:r>
    </w:p>
    <w:p>
      <w:pPr>
        <w:spacing w:after="0" w:line="67" w:lineRule="exact"/>
        <w:rPr>
          <w:rFonts w:ascii="Times New Roman" w:cs="Times New Roman" w:eastAsia="Times New Roman" w:hAnsi="Times New Roman"/>
          <w:sz w:val="18"/>
          <w:szCs w:val="18"/>
          <w:color w:val="auto"/>
        </w:rPr>
      </w:pPr>
    </w:p>
    <w:p>
      <w:pPr>
        <w:jc w:val="both"/>
        <w:ind w:firstLine="382"/>
        <w:spacing w:after="0" w:line="258" w:lineRule="auto"/>
        <w:tabs>
          <w:tab w:leader="none" w:pos="73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is appointed to hold any employment or executive office with us or who, by our request, goes or resides abroad for any purposes of the company or who otherwise performs services that in the opinion of the board of directors are outside the scope of his or her ordinary duties may be paid such additional remuneration (whether by way of salary, commission, participation in profits or otherwise) as the board of directors (or any duly authorized committee of the board of directors) may determine and either in addition to or in lieu of any remuneration provided for by or pursuant to any other article.</w:t>
      </w:r>
    </w:p>
    <w:p>
      <w:pPr>
        <w:spacing w:after="0" w:line="75" w:lineRule="exact"/>
        <w:rPr>
          <w:rFonts w:ascii="Times New Roman" w:cs="Times New Roman" w:eastAsia="Times New Roman" w:hAnsi="Times New Roman"/>
          <w:sz w:val="18"/>
          <w:szCs w:val="18"/>
          <w:color w:val="auto"/>
        </w:rPr>
      </w:pPr>
    </w:p>
    <w:p>
      <w:pPr>
        <w:jc w:val="both"/>
        <w:ind w:firstLine="382"/>
        <w:spacing w:after="0" w:line="261" w:lineRule="auto"/>
        <w:tabs>
          <w:tab w:leader="none" w:pos="73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may be paid his or her reasonable traveling expenses (including hotel and incidental expenses) of attending and returning from meetings of the directors or committees of the board of directors or general meetings or any separate meeting of the holders of any class of our shares or any other meeting that as a director he or she is entitled to attend and shall be paid all expenses properly and reasonably incurred by him or her in the conduct of the company’s business or in the discharge of his or her duties as a director.</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Pensions and other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may exercise all the powers of the company to provide benefits, either by the payment of gratuities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pensions or by insurance or in any other manner whether similar to the foregoing or not, for any director or former director, or any person who is or was at any time employed by, or held an executive or other office or place of profit in, the company or any corporate body that is or has been a subsidiary of the company or a predecessor of the business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18"/>
          <w:szCs w:val="18"/>
          <w:color w:val="auto"/>
        </w:rPr>
        <w:t>of the company or of any such subsidiary and for the families and persons who are or was a dependent of any such persons and for the purpose of providing any such benefits contribute to any scheme trust or fund or pay any premiums.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and retirement of directors</w:t>
      </w:r>
    </w:p>
    <w:p>
      <w:pPr>
        <w:spacing w:after="0" w:line="121" w:lineRule="exact"/>
        <w:rPr>
          <w:sz w:val="20"/>
          <w:szCs w:val="20"/>
          <w:color w:val="auto"/>
        </w:rPr>
      </w:pPr>
    </w:p>
    <w:p>
      <w:pPr>
        <w:jc w:val="both"/>
        <w:ind w:firstLine="382"/>
        <w:spacing w:after="0" w:line="261" w:lineRule="auto"/>
        <w:tabs>
          <w:tab w:leader="none" w:pos="7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power to appoint any person who is willing to act to be a director, either to fill a casual vacancy or as an additional director but so that the total number of directors shall not exceed the maximum number fixed (if any) by or in accordance with our articles of association. Any director so appointed shall retire from office at our annual general meeting following such appointment, and then shall be eligible for re-election for the remaining portion of the term of office of the Class to which he or she is eligible for election.</w:t>
      </w:r>
    </w:p>
    <w:p>
      <w:pPr>
        <w:spacing w:after="0" w:line="71" w:lineRule="exact"/>
        <w:rPr>
          <w:rFonts w:ascii="Times New Roman" w:cs="Times New Roman" w:eastAsia="Times New Roman" w:hAnsi="Times New Roman"/>
          <w:sz w:val="18"/>
          <w:szCs w:val="18"/>
          <w:color w:val="auto"/>
        </w:rPr>
      </w:pPr>
    </w:p>
    <w:p>
      <w:pPr>
        <w:jc w:val="both"/>
        <w:ind w:right="20" w:firstLine="382"/>
        <w:spacing w:after="0" w:line="266" w:lineRule="auto"/>
        <w:tabs>
          <w:tab w:leader="none" w:pos="7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as provided in our articles of association, the shareholders may by ordinary resolution elect any person who is willing to act as a director either to fill a casual vacancy or as an addition to the existing directors or to replace a director removed from office under our articles of association but so that the total number of directors shall not at any one time exceed any maximum number fixed by or in accordance with our articles of association.</w:t>
      </w:r>
    </w:p>
    <w:p>
      <w:pPr>
        <w:spacing w:after="0" w:line="67" w:lineRule="exact"/>
        <w:rPr>
          <w:rFonts w:ascii="Times New Roman" w:cs="Times New Roman" w:eastAsia="Times New Roman" w:hAnsi="Times New Roman"/>
          <w:sz w:val="18"/>
          <w:szCs w:val="18"/>
          <w:color w:val="auto"/>
        </w:rPr>
      </w:pPr>
    </w:p>
    <w:p>
      <w:pPr>
        <w:jc w:val="both"/>
        <w:ind w:firstLine="382"/>
        <w:spacing w:after="0" w:line="258" w:lineRule="auto"/>
        <w:tabs>
          <w:tab w:leader="none" w:pos="7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(a) above and the initial terms described in “Description of Issued Share Capital—Articles of Association-Directors— Classified board of directors”, each director within each class shall retire at the third annual general meeting following the annual general meeting at which he or she was elected or last re-elected. Except where there is an increase in the number of directors (in which case the newly created directorships shall be apportioned by our board amongst our existing classes) or in accordance with paragraph (a) above, directors elected or re-elected at an annual general meeting shall be appointed to the class whose term expires at such meeting.</w:t>
      </w:r>
    </w:p>
    <w:p>
      <w:pPr>
        <w:spacing w:after="0" w:line="75" w:lineRule="exact"/>
        <w:rPr>
          <w:rFonts w:ascii="Times New Roman" w:cs="Times New Roman" w:eastAsia="Times New Roman" w:hAnsi="Times New Roman"/>
          <w:sz w:val="18"/>
          <w:szCs w:val="18"/>
          <w:color w:val="auto"/>
        </w:rPr>
      </w:pPr>
    </w:p>
    <w:p>
      <w:pPr>
        <w:ind w:right="20" w:firstLine="382"/>
        <w:spacing w:after="0" w:line="282" w:lineRule="auto"/>
        <w:tabs>
          <w:tab w:leader="none" w:pos="7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retiring at an annual general meeting shall be eligible for re-election. If a retiring director is not re-elected, he or she shall hold office until the meeting elects someone in his or her place or, if it does not do so, until the end of the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name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of directors may resolve to change our company name.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of officers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Subject to the provisions of any relevant legislation, each of our directors and other officers may be indemnified by us against all costs, charges, losses, expenses and liabilities incurred by him in the execution and discharge of his duties or in relation to those duties. The Companies Act 2006 renders void an indemnity for a director against any liability attaching to him or her in connection with any negligence, default, breach of duty or breach of trust in relation to the company of which he or she is a director as described in “-Differences in Corporate Law-Liability of Directors and Officers.”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11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Annual general meetings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shall in each year hold an annual general meeting of our shareholders in addition to any other meetings in that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shall specify the meeting as such in the notice convening it. The annual general meeting shall be held at such time and place as the board of directors may appoint.</w:t>
      </w:r>
    </w:p>
    <w:p>
      <w:pPr>
        <w:spacing w:after="0" w:line="63"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Calling of general meetings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may call a general meeting of shareholders. The board of directors must call a general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shareholders and the Companies Act 2006 require them to do so. The arrangements for the calling of general meetings are described in “—Differences in Corporate Law—Notice of General Meetings” below.</w:t>
      </w:r>
    </w:p>
    <w:p>
      <w:pPr>
        <w:spacing w:after="0" w:line="63"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Quorum of meetings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business shall be transacted at any general meeting unless a quorum is present when the meeting proceeds to business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absence of a quorum shall not preclude the appointment of a chairman, which shall not be treated as part of the business of a meeting. One or more qualifying persons present at a meeting and between them holding (or being the proxy or corporate representative of the holders of) at least one-third in number of the issued shares (excluding any shares held as treasury shares) entitled to vote on the business to be transacted are a quorum. A qualifying person for these purposes is an individual who is a shareholder, a person authorized to act as the representative of a shareholder (being a corporation) in relation to the meeting or a person appointed as proxy of a shareholder in relation to the meeting.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United Kingdom law considerations</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Sections 979 to 991 of the Companies Act 2006, where a takeover offer has been made for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“squeeze-out” of the minority shareholders can be completed at the end of six weeks from the date the notice has been given, subject to the minority shareholders failing to successfully lodge an application to the court to prevent such squeeze-out 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p>
      <w:pPr>
        <w:jc w:val="both"/>
        <w:spacing w:after="0" w:line="266" w:lineRule="auto"/>
        <w:rPr>
          <w:sz w:val="20"/>
          <w:szCs w:val="20"/>
          <w:color w:val="auto"/>
        </w:rPr>
      </w:pPr>
      <w:r>
        <w:rPr>
          <w:rFonts w:ascii="Times New Roman" w:cs="Times New Roman" w:eastAsia="Times New Roman" w:hAnsi="Times New Roman"/>
          <w:sz w:val="18"/>
          <w:szCs w:val="18"/>
          <w:color w:val="auto"/>
        </w:rPr>
        <w:t>time prior to the end of those six weeks, following which the offeror can execute a transfer of the outstanding shares in its favor and pay the consideration to us, to be held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64"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Sell-out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Companies Act 2006 also gives our minority shareholders a right to be bought out in certain circumstances by an offeror who has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takeover offer for all of our shares. The holder of shares to which the offer relates, and who has not otherwise accepted the offer, may require the offeror to acquire his shares if, prior to the expiry of the acceptance period for such offer, (i) the offeror has acquired or agreed to acquire not less than 90% in value of our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74"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Part 22 of the Companies Act 2006 and our articles of association, we are empowered to require,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in writing, any person whom we know to be, or have reasonable cause to believe to be, interested in our shares, or at any time during the three years immediately preceding the date on which the notice is issued has been so interested, within a reasonable time to disclose to us particulars of that person’s own interest and (so far as is within that person’s knowledge) particulars of any other interest, agreement or arrangement relating to the exercise of any rights conferred by the holding of the shares that subsists or subsisted in those shares.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if a person defaults in supplying us with the required particulars in relation to the shares in question, (the “default shares”), the board of directors may by notice direct that:</w:t>
      </w:r>
    </w:p>
    <w:p>
      <w:pPr>
        <w:spacing w:after="0" w:line="54" w:lineRule="exact"/>
        <w:rPr>
          <w:sz w:val="20"/>
          <w:szCs w:val="20"/>
          <w:color w:val="auto"/>
        </w:rPr>
      </w:pPr>
    </w:p>
    <w:p>
      <w:pPr>
        <w:ind w:left="760" w:right="20" w:hanging="378"/>
        <w:spacing w:after="0" w:line="282"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or exercise any other right conferred by his holding shares in relation to general meetings;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(a) any dividend or other money payable in respect of the default shares shall be retained by us without liability to pay interest and, if applicable, any election to receive ordinary shares instead of money in respect of the default shares shall be ineffective; (b) no transfers of shares by the relevant shareholder other than certain approved transfers may be registered (unless the shareholder himself is not in default and the transfer does not relate to default shares); or (c) any shares held by the relevant shareholder in uncertificated form shall be converted into certificated form.</w:t>
      </w:r>
    </w:p>
    <w:p>
      <w:pPr>
        <w:spacing w:after="0" w:line="71"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Purchase of own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English law, a limited company may only purchase its own shares out of its distributable profits or the proceeds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fresh issue of shares made for the purpose of financing the purchase, provided it is not restricted from doing so by its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may, at our option, and subject to the Companies Act 2006, purchase any or all of the deferred shares then in issue for an aggregate consideration of £0.01 payable to one of the holders of deferred shares.</w:t>
      </w:r>
    </w:p>
    <w:p>
      <w:pPr>
        <w:spacing w:after="0" w:line="5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Preemptive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English law generally provides shareholders with preemptive rights when new shares are issued for cash; however, it is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company’s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23, 2025, at a General Meeting held by us, our shareholders approved the exclusion of preemptive rights in connection with the allotment of shares or the grant of rights to subscribe for or to convert any security into shares up to an aggregate nominal value of up to £20,000,000, for a period ending on June 30, 2026 or, if earlier, at the conclusion of our annual general meeting to be held in 2026.</w:t>
      </w:r>
    </w:p>
    <w:p>
      <w:pPr>
        <w:spacing w:after="0" w:line="77"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City code on takeovers and mergers, or the Takeover Code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public company incorporated in England and Wales with its place of central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control in the United Kingdom, we are currently subject to the United Kingdom City Code on Takeovers and Mergers, or the Takeover Code. However, amendments have been made to the Takeover Code (with effect from February 3, 2025) which mean that, since our securities are not “UK quoted” (i.e., admitted to trading on a UK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p>
      <w:pPr>
        <w:spacing w:after="0" w:line="282" w:lineRule="auto"/>
        <w:rPr>
          <w:sz w:val="20"/>
          <w:szCs w:val="20"/>
          <w:color w:val="auto"/>
        </w:rPr>
      </w:pPr>
      <w:r>
        <w:rPr>
          <w:rFonts w:ascii="Times New Roman" w:cs="Times New Roman" w:eastAsia="Times New Roman" w:hAnsi="Times New Roman"/>
          <w:sz w:val="18"/>
          <w:szCs w:val="18"/>
          <w:color w:val="auto"/>
        </w:rPr>
        <w:t>regulated market or a UK multilateral trading facility or on any stock exchange in the Channel Islands or the Isle of Man), we will cease to be subject to the Takeover Code on February 3, 2027.</w:t>
      </w:r>
    </w:p>
    <w:p>
      <w:pPr>
        <w:spacing w:after="0" w:line="5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Takeover Code contains rules concerning the conduct of takeover offers for the company. For example, under Rule 9 of the Takeover Code, if a person:</w:t>
      </w:r>
    </w:p>
    <w:p>
      <w:pPr>
        <w:spacing w:after="0" w:line="54" w:lineRule="exact"/>
        <w:rPr>
          <w:sz w:val="20"/>
          <w:szCs w:val="20"/>
          <w:color w:val="auto"/>
        </w:rPr>
      </w:pPr>
    </w:p>
    <w:p>
      <w:pPr>
        <w:ind w:right="20" w:firstLine="382"/>
        <w:spacing w:after="0" w:line="282" w:lineRule="auto"/>
        <w:tabs>
          <w:tab w:leader="none" w:pos="7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 interest in our shares that, when taken together with shares in which he or persons acting in concert with him are interested, carries 30% or more of the voting rights of our shares; or</w:t>
      </w:r>
    </w:p>
    <w:p>
      <w:pPr>
        <w:spacing w:after="0" w:line="53" w:lineRule="exact"/>
        <w:rPr>
          <w:rFonts w:ascii="Times New Roman" w:cs="Times New Roman" w:eastAsia="Times New Roman" w:hAnsi="Times New Roman"/>
          <w:sz w:val="18"/>
          <w:szCs w:val="18"/>
          <w:color w:val="auto"/>
        </w:rPr>
      </w:pPr>
    </w:p>
    <w:p>
      <w:pPr>
        <w:ind w:firstLine="382"/>
        <w:spacing w:after="0" w:line="282" w:lineRule="auto"/>
        <w:tabs>
          <w:tab w:leader="none" w:pos="7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together with persons acting in concert with him, is interested in shares that in the aggregate carry not less than 30% and not more than 50% of the voting rights in the company;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our outstanding shares at a price not less than the highest price paid for any interests in the shares by the acquirer or its concert parties during the previous 12 months. Some provisions in the Takeover Code might have anti-takeover effects that could discourage an acquisition of us by others even if an acquisition would be beneficial to our shareholders.</w:t>
      </w:r>
    </w:p>
    <w:p>
      <w:pPr>
        <w:spacing w:after="0" w:line="7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Companies Act 2006, before a company can lawfully make a distribution or dividend, it must ensure that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68" w:lineRule="exact"/>
        <w:rPr>
          <w:sz w:val="20"/>
          <w:szCs w:val="20"/>
          <w:color w:val="auto"/>
        </w:rPr>
      </w:pPr>
    </w:p>
    <w:p>
      <w:pPr>
        <w:ind w:right="20" w:firstLine="382"/>
        <w:spacing w:after="0" w:line="282" w:lineRule="auto"/>
        <w:tabs>
          <w:tab w:leader="none" w:pos="73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53"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113"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Exchange controls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governmental laws, decrees, regulations or other legislation in the United Kingdom that may affect the import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export of capital, including the availability of cash, cash equivalents and short-term deposits for use by us, or that may affect the remittance of dividends, interest, or other payments by us to non-resident holders of our ordinary shares or ADSs, other than withholding tax requirements. There is no limitation imposed by English law or in the articles of association on the right of non-residents to hold or vote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117"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The applicable provisions of the Companies Act 2006 differ from laws applicable to U.S. corporations and their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Set forth below is a summary of certain differences between the provisions of the Companies Act 2006 applicable to us and the Delaware General Corporation Law relating to shareholders’ rights and protections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summary is not intended to be a complete discussion of the respective rights and it is qualified in its entirety by reference to Delaware law and English law.</w:t>
      </w:r>
    </w:p>
    <w:p>
      <w:pPr>
        <w:sectPr>
          <w:pgSz w:w="11900" w:h="16838" w:orient="portrait"/>
          <w:cols w:equalWidth="0" w:num="1">
            <w:col w:w="11240"/>
          </w:cols>
          <w:pgMar w:left="320" w:top="1093" w:right="339" w:bottom="1440" w:gutter="0" w:footer="0" w:header="0"/>
        </w:sectPr>
      </w:pP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England and Wales</w:t>
            </w:r>
          </w:p>
        </w:tc>
        <w:tc>
          <w:tcPr>
            <w:tcW w:w="0" w:type="dxa"/>
            <w:vAlign w:val="bottom"/>
          </w:tcPr>
          <w:p>
            <w:pPr>
              <w:spacing w:after="0"/>
              <w:rPr>
                <w:sz w:val="1"/>
                <w:szCs w:val="1"/>
                <w:color w:val="auto"/>
              </w:rPr>
            </w:pPr>
          </w:p>
        </w:tc>
      </w:tr>
      <w:tr>
        <w:trPr>
          <w:trHeight w:val="191"/>
        </w:trPr>
        <w:tc>
          <w:tcPr>
            <w:tcW w:w="1780" w:type="dxa"/>
            <w:vAlign w:val="bottom"/>
            <w:vMerge w:val="continue"/>
          </w:tcPr>
          <w:p>
            <w:pPr>
              <w:spacing w:after="0"/>
              <w:rPr>
                <w:sz w:val="16"/>
                <w:szCs w:val="16"/>
                <w:color w:val="auto"/>
              </w:rPr>
            </w:pPr>
          </w:p>
        </w:tc>
        <w:tc>
          <w:tcPr>
            <w:tcW w:w="42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Under  the  Companies  Act  2006,  a  public  limited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must have at least two directors and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directors may be fixed by or in the manner</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provided in a company’s articles of association.</w:t>
            </w: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Removal of</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the Companies Act 2006, shareholders may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remove  a  director  without  cause  by  an  ordinary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resolution (which is passed by a simple majority of</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those voting in person or by proxy at a general meeting)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irrespective of any provisions of any service contract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director has with the company, provided 28 clear</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days’ notice of the resolution has been</w:t>
            </w: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426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19685</wp:posOffset>
            </wp:positionV>
            <wp:extent cx="24688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 w:lineRule="exact"/>
        <w:rPr>
          <w:sz w:val="20"/>
          <w:szCs w:val="20"/>
          <w:color w:val="auto"/>
        </w:rPr>
      </w:pPr>
    </w:p>
    <w:p>
      <w:pPr>
        <w:jc w:val="both"/>
        <w:ind w:right="1020"/>
        <w:spacing w:after="0" w:line="259"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w:t>
      </w:r>
    </w:p>
    <w:p>
      <w:pPr>
        <w:spacing w:after="0" w:line="74" w:lineRule="exact"/>
        <w:rPr>
          <w:sz w:val="20"/>
          <w:szCs w:val="20"/>
          <w:color w:val="auto"/>
        </w:rPr>
      </w:pPr>
    </w:p>
    <w:p>
      <w:pPr>
        <w:jc w:val="both"/>
        <w:ind w:right="1020"/>
        <w:spacing w:after="0" w:line="255" w:lineRule="auto"/>
        <w:rPr>
          <w:sz w:val="20"/>
          <w:szCs w:val="20"/>
          <w:color w:val="auto"/>
        </w:rPr>
      </w:pPr>
      <w:r>
        <w:rPr>
          <w:rFonts w:ascii="Times New Roman" w:cs="Times New Roman" w:eastAsia="Times New Roman" w:hAnsi="Times New Roman"/>
          <w:sz w:val="18"/>
          <w:szCs w:val="18"/>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w:t>
      </w:r>
    </w:p>
    <w:p>
      <w:pPr>
        <w:sectPr>
          <w:pgSz w:w="11900" w:h="16838" w:orient="portrait"/>
          <w:cols w:equalWidth="0" w:num="2">
            <w:col w:w="6160" w:space="400"/>
            <w:col w:w="4680"/>
          </w:cols>
          <w:pgMar w:left="320" w:top="1093" w:right="3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42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England and Wales</w:t>
            </w:r>
          </w:p>
        </w:tc>
      </w:tr>
      <w:tr>
        <w:trPr>
          <w:trHeight w:val="191"/>
        </w:trPr>
        <w:tc>
          <w:tcPr>
            <w:tcW w:w="1780" w:type="dxa"/>
            <w:vAlign w:val="bottom"/>
          </w:tcPr>
          <w:p>
            <w:pPr>
              <w:spacing w:after="0"/>
              <w:rPr>
                <w:sz w:val="16"/>
                <w:szCs w:val="16"/>
                <w:color w:val="auto"/>
              </w:rPr>
            </w:pPr>
          </w:p>
        </w:tc>
        <w:tc>
          <w:tcPr>
            <w:tcW w:w="42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given to the company and its shareholders. On receipt</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notice of an intended resolution to remove a director,</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company must forthwith send a copy of the notice</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the director concerned.  Certain other procedural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requirements under the Companies Act 2006 must also</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followed such as allowing the director to make</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against his or her removal either at the</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or in writing.</w:t>
            </w:r>
          </w:p>
        </w:tc>
      </w:tr>
      <w:tr>
        <w:trPr>
          <w:trHeight w:val="73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Vacancies on the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English law, the procedure by which directors</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than a company’s initial directors) are appointed</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generally  set  out  in  a  company’s  articles  of</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association, provided that, as regards public companies,</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motion for the appointment of two or more persons as</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by a single resolution must not be made unless</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resolution that it should be so made has first been</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agreed to by the meeting without any vote being given</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against it.</w:t>
            </w:r>
          </w:p>
        </w:tc>
      </w:tr>
      <w:tr>
        <w:trPr>
          <w:trHeight w:val="73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Annual General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the  Companies  Act  2006,  a  public  limited</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must hold an annual general meeting in each</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six-month period beginning with the day following the</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company’s annual accounting reference date.</w:t>
            </w:r>
          </w:p>
        </w:tc>
      </w:tr>
      <w:tr>
        <w:trPr>
          <w:trHeight w:val="73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the Companies Act 2006, a general meeting of</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shareholders of a public limited company may be</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called by the directors.</w:t>
            </w:r>
          </w:p>
        </w:tc>
      </w:tr>
      <w:tr>
        <w:trPr>
          <w:trHeight w:val="306"/>
        </w:trPr>
        <w:tc>
          <w:tcPr>
            <w:tcW w:w="1780" w:type="dxa"/>
            <w:vAlign w:val="bottom"/>
          </w:tcPr>
          <w:p>
            <w:pPr>
              <w:spacing w:after="0"/>
              <w:rPr>
                <w:sz w:val="24"/>
                <w:szCs w:val="24"/>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holding at least 5% of the paid-up capital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company  carrying  voting  rights  at  general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can require the directors to call a general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and, if the directors fail to do so within a</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prescribed period, may themselves, or any of them</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representing more than one half of the total voting</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all of them call a general meeting.</w:t>
            </w:r>
          </w:p>
        </w:tc>
      </w:tr>
      <w:tr>
        <w:trPr>
          <w:trHeight w:val="30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Notice of General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the Companies Act 2006, 21 clear days’ notice</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Meetings</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must be given for an annual general meeting and any</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resolutions to be proposed at the meeting. Subject to a</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providing for a longer</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 at least 14 clear days’ notice is required for any</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general meeting of a public limited company</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fulfills certain conditions. In addition,</w:t>
            </w:r>
          </w:p>
        </w:tc>
      </w:tr>
      <w:tr>
        <w:trPr>
          <w:trHeight w:val="432"/>
        </w:trPr>
        <w:tc>
          <w:tcPr>
            <w:tcW w:w="1780" w:type="dxa"/>
            <w:vAlign w:val="bottom"/>
          </w:tcPr>
          <w:p>
            <w:pPr>
              <w:spacing w:after="0"/>
              <w:rPr>
                <w:sz w:val="24"/>
                <w:szCs w:val="24"/>
                <w:color w:val="auto"/>
              </w:rPr>
            </w:pPr>
          </w:p>
        </w:tc>
        <w:tc>
          <w:tcPr>
            <w:tcW w:w="426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475615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19685</wp:posOffset>
            </wp:positionV>
            <wp:extent cx="24688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8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w:t>
      </w:r>
    </w:p>
    <w:p>
      <w:pPr>
        <w:sectPr>
          <w:pgSz w:w="11900" w:h="16838" w:orient="portrait"/>
          <w:cols w:equalWidth="0" w:num="2">
            <w:col w:w="6040" w:space="400"/>
            <w:col w:w="3680"/>
          </w:cols>
          <w:pgMar w:left="440" w:top="1089" w:right="1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42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England and Wales</w:t>
            </w:r>
          </w:p>
        </w:tc>
      </w:tr>
      <w:tr>
        <w:trPr>
          <w:trHeight w:val="191"/>
        </w:trPr>
        <w:tc>
          <w:tcPr>
            <w:tcW w:w="1780" w:type="dxa"/>
            <w:vAlign w:val="bottom"/>
          </w:tcPr>
          <w:p>
            <w:pPr>
              <w:spacing w:after="0"/>
              <w:rPr>
                <w:sz w:val="16"/>
                <w:szCs w:val="16"/>
                <w:color w:val="auto"/>
              </w:rPr>
            </w:pPr>
          </w:p>
        </w:tc>
        <w:tc>
          <w:tcPr>
            <w:tcW w:w="42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certain matters, such as resolutions to remove directors</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auditors, require special notice, which is 28 clear</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days’ notice. The shareholders of a company may in all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cases consent to a shorter notice period, the proportion</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shareholders’ consent required being 100% of those</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to attend and vote in the case of an annual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meeting and, in the case of any other general</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a majority in number of the shareholders</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having a right to attend and vote at the meeting, being a</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majority who together hold not less than 95% in</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nominal value of the shares giving a right to attend and</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at the meeting.</w:t>
            </w:r>
          </w:p>
        </w:tc>
      </w:tr>
      <w:tr>
        <w:trPr>
          <w:trHeight w:val="30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Quorum</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Subject to the provisions of a company’s articles of</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association, the Companies Act 2006 provides that two</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present at a meeting (in person, by proxy</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authorized under the Companies Act) shall constitute</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quorum  for  companies  with  more  than  one</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Under the Companies Act 2006, at any meeting of</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shareholders,  a  shareholder  may  designate  another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person to attend, speak and vote at the meeting on their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Pre-emptive</w:t>
      </w:r>
      <w:r>
        <w:rPr>
          <w:sz w:val="20"/>
          <w:szCs w:val="20"/>
          <w:color w:val="auto"/>
        </w:rPr>
        <w:tab/>
      </w:r>
      <w:r>
        <w:rPr>
          <w:rFonts w:ascii="Times New Roman" w:cs="Times New Roman" w:eastAsia="Times New Roman" w:hAnsi="Times New Roman"/>
          <w:sz w:val="18"/>
          <w:szCs w:val="18"/>
          <w:color w:val="auto"/>
        </w:rPr>
        <w:t>Under the Companies Act 2006, “equity securities”,</w:t>
      </w:r>
    </w:p>
    <w:p>
      <w:pPr>
        <w:spacing w:after="0" w:line="2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Rights</w:t>
      </w:r>
      <w:r>
        <w:rPr>
          <w:sz w:val="20"/>
          <w:szCs w:val="20"/>
          <w:color w:val="auto"/>
        </w:rPr>
        <w:tab/>
      </w:r>
      <w:r>
        <w:rPr>
          <w:rFonts w:ascii="Times New Roman" w:cs="Times New Roman" w:eastAsia="Times New Roman" w:hAnsi="Times New Roman"/>
          <w:sz w:val="18"/>
          <w:szCs w:val="18"/>
          <w:color w:val="auto"/>
        </w:rPr>
        <w:t>being (i) shares in the company other than shares that,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respect to dividends and capital, carry a right to</w:t>
      </w:r>
    </w:p>
    <w:p>
      <w:pPr>
        <w:spacing w:after="0" w:line="9" w:lineRule="exact"/>
        <w:rPr>
          <w:sz w:val="20"/>
          <w:szCs w:val="20"/>
          <w:color w:val="auto"/>
        </w:rPr>
      </w:pPr>
    </w:p>
    <w:p>
      <w:pPr>
        <w:ind w:left="1880"/>
        <w:spacing w:after="0"/>
        <w:tabs>
          <w:tab w:leader="none" w:pos="2760" w:val="left"/>
          <w:tab w:leader="none" w:pos="3220" w:val="left"/>
          <w:tab w:leader="none" w:pos="3560" w:val="left"/>
          <w:tab w:leader="none" w:pos="3840" w:val="left"/>
          <w:tab w:leader="none" w:pos="4060" w:val="left"/>
          <w:tab w:leader="none" w:pos="4860" w:val="left"/>
          <w:tab w:leader="none" w:pos="5540" w:val="left"/>
          <w:tab w:leader="none" w:pos="5820" w:val="left"/>
        </w:tabs>
        <w:rPr>
          <w:sz w:val="20"/>
          <w:szCs w:val="20"/>
          <w:color w:val="auto"/>
        </w:rPr>
      </w:pPr>
      <w:r>
        <w:rPr>
          <w:rFonts w:ascii="Times New Roman" w:cs="Times New Roman" w:eastAsia="Times New Roman" w:hAnsi="Times New Roman"/>
          <w:sz w:val="18"/>
          <w:szCs w:val="18"/>
          <w:color w:val="auto"/>
        </w:rPr>
        <w:t>participate</w:t>
        <w:tab/>
        <w:t>only</w:t>
        <w:tab/>
        <w:t>up</w:t>
        <w:tab/>
        <w:t>to</w:t>
        <w:tab/>
        <w:t>a</w:t>
        <w:tab/>
        <w:t>specified</w:t>
        <w:tab/>
        <w:t>amount</w:t>
        <w:tab/>
        <w:t>in</w:t>
        <w:tab/>
        <w:t>a</w:t>
      </w:r>
    </w:p>
    <w:p>
      <w:pPr>
        <w:spacing w:after="0" w:line="9" w:lineRule="exact"/>
        <w:rPr>
          <w:sz w:val="20"/>
          <w:szCs w:val="20"/>
          <w:color w:val="auto"/>
        </w:rPr>
      </w:pPr>
    </w:p>
    <w:p>
      <w:pPr>
        <w:ind w:left="1880"/>
        <w:spacing w:after="0"/>
        <w:tabs>
          <w:tab w:leader="none" w:pos="2840" w:val="left"/>
          <w:tab w:leader="none" w:pos="3760" w:val="left"/>
          <w:tab w:leader="none" w:pos="4500" w:val="left"/>
          <w:tab w:leader="none" w:pos="4800" w:val="left"/>
          <w:tab w:leader="none" w:pos="5180" w:val="left"/>
          <w:tab w:leader="none" w:pos="5760" w:val="left"/>
        </w:tabs>
        <w:rPr>
          <w:sz w:val="20"/>
          <w:szCs w:val="20"/>
          <w:color w:val="auto"/>
        </w:rPr>
      </w:pPr>
      <w:r>
        <w:rPr>
          <w:rFonts w:ascii="Times New Roman" w:cs="Times New Roman" w:eastAsia="Times New Roman" w:hAnsi="Times New Roman"/>
          <w:sz w:val="18"/>
          <w:szCs w:val="18"/>
          <w:color w:val="auto"/>
        </w:rPr>
        <w:t>distribution</w:t>
        <w:tab/>
        <w:t>(“ordinary</w:t>
        <w:tab/>
        <w:t>shares”)</w:t>
        <w:tab/>
        <w:t>or</w:t>
        <w:tab/>
        <w:t>(ii)</w:t>
        <w:tab/>
        <w:t>rights</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subscribe for, or to convert securities into, ordinary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shares, proposed to be allotted for cash must be offered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first to the existing equity shareholders in the company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 proportion to the respective nominal value of their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holdings, unless the period during which any such offer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may be accepted has expired or the company has</w:t>
      </w:r>
    </w:p>
    <w:p>
      <w:pPr>
        <w:spacing w:after="0" w:line="9" w:lineRule="exact"/>
        <w:rPr>
          <w:sz w:val="20"/>
          <w:szCs w:val="20"/>
          <w:color w:val="auto"/>
        </w:rPr>
      </w:pPr>
    </w:p>
    <w:p>
      <w:pPr>
        <w:ind w:left="1880"/>
        <w:spacing w:after="0"/>
        <w:tabs>
          <w:tab w:leader="none" w:pos="2620" w:val="left"/>
          <w:tab w:leader="none" w:pos="3200" w:val="left"/>
          <w:tab w:leader="none" w:pos="3500" w:val="left"/>
          <w:tab w:leader="none" w:pos="4440" w:val="left"/>
          <w:tab w:leader="none" w:pos="4740" w:val="left"/>
          <w:tab w:leader="none" w:pos="5420" w:val="left"/>
          <w:tab w:leader="none" w:pos="5720" w:val="left"/>
        </w:tabs>
        <w:rPr>
          <w:sz w:val="20"/>
          <w:szCs w:val="20"/>
          <w:color w:val="auto"/>
        </w:rPr>
      </w:pPr>
      <w:r>
        <w:rPr>
          <w:rFonts w:ascii="Times New Roman" w:cs="Times New Roman" w:eastAsia="Times New Roman" w:hAnsi="Times New Roman"/>
          <w:sz w:val="18"/>
          <w:szCs w:val="18"/>
          <w:color w:val="auto"/>
        </w:rPr>
        <w:t>received</w:t>
        <w:tab/>
        <w:t>notice</w:t>
        <w:tab/>
        <w:t>of</w:t>
        <w:tab/>
        <w:t>acceptance</w:t>
        <w:tab/>
        <w:t>of</w:t>
        <w:tab/>
        <w:t>refusal,</w:t>
        <w:tab/>
        <w:t>or</w:t>
        <w:tab/>
        <w:t>an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exception applies or a special resolution to the contrary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has been passed by shareholders in a general meeting 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articles of association provide</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19685</wp:posOffset>
            </wp:positionV>
            <wp:extent cx="24688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040" w:space="400"/>
            <w:col w:w="3680"/>
          </w:cols>
          <w:pgMar w:left="440" w:top="1089" w:right="1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42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England and Wales</w:t>
            </w:r>
          </w:p>
        </w:tc>
      </w:tr>
      <w:tr>
        <w:trPr>
          <w:trHeight w:val="191"/>
        </w:trPr>
        <w:tc>
          <w:tcPr>
            <w:tcW w:w="1780" w:type="dxa"/>
            <w:vAlign w:val="bottom"/>
          </w:tcPr>
          <w:p>
            <w:pPr>
              <w:spacing w:after="0"/>
              <w:rPr>
                <w:sz w:val="16"/>
                <w:szCs w:val="16"/>
                <w:color w:val="auto"/>
              </w:rPr>
            </w:pPr>
          </w:p>
        </w:tc>
        <w:tc>
          <w:tcPr>
            <w:tcW w:w="42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otherwise  (in  each  case  in  accordance  with  the</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provisions of the Companies Act 2006).</w:t>
            </w:r>
          </w:p>
        </w:tc>
      </w:tr>
      <w:tr>
        <w:trPr>
          <w:trHeight w:val="30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Authority to Allot</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the Companies Act 2006, the directors of a</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must  not  allot  shares  or  grant  rights  to</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subscribe for or to convert any security into shares</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unless an exception applies or an ordinary resolution to</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contrary has been passed by shareholders in a</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meeting or the articles of association provide</w:t>
            </w:r>
          </w:p>
        </w:tc>
      </w:tr>
      <w:tr>
        <w:trPr>
          <w:trHeight w:val="216"/>
        </w:trPr>
        <w:tc>
          <w:tcPr>
            <w:tcW w:w="178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otherwise  (in  each  case  in  accordance  with  the</w:t>
            </w:r>
          </w:p>
        </w:tc>
      </w:tr>
      <w:tr>
        <w:trPr>
          <w:trHeight w:val="234"/>
        </w:trPr>
        <w:tc>
          <w:tcPr>
            <w:tcW w:w="17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provisions of the Companies Act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Liability of</w:t>
      </w:r>
      <w:r>
        <w:rPr>
          <w:sz w:val="20"/>
          <w:szCs w:val="20"/>
          <w:color w:val="auto"/>
        </w:rPr>
        <w:tab/>
      </w:r>
      <w:r>
        <w:rPr>
          <w:rFonts w:ascii="Times New Roman" w:cs="Times New Roman" w:eastAsia="Times New Roman" w:hAnsi="Times New Roman"/>
          <w:sz w:val="18"/>
          <w:szCs w:val="18"/>
          <w:color w:val="auto"/>
        </w:rPr>
        <w:t>Under the Companies Act 2006, any provision (whether</w:t>
      </w:r>
    </w:p>
    <w:p>
      <w:pPr>
        <w:spacing w:after="0" w:line="2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Directors and</w:t>
      </w:r>
      <w:r>
        <w:rPr>
          <w:sz w:val="20"/>
          <w:szCs w:val="20"/>
          <w:color w:val="auto"/>
        </w:rPr>
        <w:tab/>
      </w:r>
      <w:r>
        <w:rPr>
          <w:rFonts w:ascii="Times New Roman" w:cs="Times New Roman" w:eastAsia="Times New Roman" w:hAnsi="Times New Roman"/>
          <w:sz w:val="18"/>
          <w:szCs w:val="18"/>
          <w:color w:val="auto"/>
        </w:rPr>
        <w:t>contained in a company’s articles of association or any</w:t>
      </w:r>
    </w:p>
    <w:p>
      <w:pPr>
        <w:spacing w:after="0" w:line="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Officers</w:t>
      </w:r>
      <w:r>
        <w:rPr>
          <w:sz w:val="20"/>
          <w:szCs w:val="20"/>
          <w:color w:val="auto"/>
        </w:rPr>
        <w:tab/>
      </w:r>
      <w:r>
        <w:rPr>
          <w:rFonts w:ascii="Times New Roman" w:cs="Times New Roman" w:eastAsia="Times New Roman" w:hAnsi="Times New Roman"/>
          <w:sz w:val="18"/>
          <w:szCs w:val="18"/>
          <w:color w:val="auto"/>
        </w:rPr>
        <w:t>contract or otherwise) that purports to exempt a director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of a company, to any extent, from any liability that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would otherwise attach to him in connection with 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negligence, default, breach of duty or breach of trust in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relation to the company is void.</w:t>
      </w:r>
    </w:p>
    <w:p>
      <w:pPr>
        <w:spacing w:after="0" w:line="99" w:lineRule="exact"/>
        <w:rPr>
          <w:sz w:val="20"/>
          <w:szCs w:val="20"/>
          <w:color w:val="auto"/>
        </w:rPr>
      </w:pPr>
    </w:p>
    <w:p>
      <w:pPr>
        <w:ind w:left="1880"/>
        <w:spacing w:after="0"/>
        <w:tabs>
          <w:tab w:leader="none" w:pos="2320" w:val="left"/>
          <w:tab w:leader="none" w:pos="3140" w:val="left"/>
          <w:tab w:leader="none" w:pos="3460" w:val="left"/>
          <w:tab w:leader="none" w:pos="4040" w:val="left"/>
          <w:tab w:leader="none" w:pos="4260" w:val="left"/>
          <w:tab w:leader="none" w:pos="5060" w:val="left"/>
          <w:tab w:leader="none" w:pos="5740" w:val="left"/>
        </w:tabs>
        <w:rPr>
          <w:sz w:val="20"/>
          <w:szCs w:val="20"/>
          <w:color w:val="auto"/>
        </w:rPr>
      </w:pPr>
      <w:r>
        <w:rPr>
          <w:rFonts w:ascii="Times New Roman" w:cs="Times New Roman" w:eastAsia="Times New Roman" w:hAnsi="Times New Roman"/>
          <w:sz w:val="18"/>
          <w:szCs w:val="18"/>
          <w:color w:val="auto"/>
        </w:rPr>
        <w:t>Any</w:t>
        <w:tab/>
        <w:t>provision</w:t>
        <w:tab/>
        <w:t>by</w:t>
        <w:tab/>
        <w:t>which</w:t>
        <w:tab/>
        <w:t>a</w:t>
        <w:tab/>
        <w:t>company</w:t>
        <w:tab/>
        <w:t>directly</w:t>
        <w:tab/>
        <w:t>or</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indirectly provides an indemnity, to any extent, for a</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director of the company or of an associated company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against any liability attaching to him in connection with</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any negligence, default, breach of duty or breach of</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trust in relation to the company of which he is a director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is also void except as permitted by the Companies Act</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2006, which provides exceptions for the company to (a)</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purchase and maintain insurance against such liability;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 provide a “qualifying third party indemnity” (being</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an indemnity against certain liabilities incurred by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director to a person other than the company or an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associated company); and (c) provide a “qualifying</w:t>
      </w:r>
    </w:p>
    <w:p>
      <w:pPr>
        <w:spacing w:after="0" w:line="9" w:lineRule="exact"/>
        <w:rPr>
          <w:sz w:val="20"/>
          <w:szCs w:val="20"/>
          <w:color w:val="auto"/>
        </w:rPr>
      </w:pPr>
    </w:p>
    <w:p>
      <w:pPr>
        <w:ind w:left="1880"/>
        <w:spacing w:after="0"/>
        <w:tabs>
          <w:tab w:leader="none" w:pos="2580" w:val="left"/>
          <w:tab w:leader="none" w:pos="3260" w:val="left"/>
          <w:tab w:leader="none" w:pos="4220" w:val="left"/>
          <w:tab w:leader="none" w:pos="4840" w:val="left"/>
          <w:tab w:leader="none" w:pos="5160" w:val="left"/>
        </w:tabs>
        <w:rPr>
          <w:sz w:val="20"/>
          <w:szCs w:val="20"/>
          <w:color w:val="auto"/>
        </w:rPr>
      </w:pPr>
      <w:r>
        <w:rPr>
          <w:rFonts w:ascii="Times New Roman" w:cs="Times New Roman" w:eastAsia="Times New Roman" w:hAnsi="Times New Roman"/>
          <w:sz w:val="18"/>
          <w:szCs w:val="18"/>
          <w:color w:val="auto"/>
        </w:rPr>
        <w:t>pension</w:t>
        <w:tab/>
        <w:t>scheme</w:t>
        <w:tab/>
        <w:t>indemnity”</w:t>
        <w:tab/>
        <w:t>(being</w:t>
        <w:tab/>
        <w:t>an</w:t>
        <w:tab/>
        <w:t>indemnity</w:t>
      </w:r>
    </w:p>
    <w:p>
      <w:pPr>
        <w:spacing w:after="0" w:line="9" w:lineRule="exact"/>
        <w:rPr>
          <w:sz w:val="20"/>
          <w:szCs w:val="20"/>
          <w:color w:val="auto"/>
        </w:rPr>
      </w:pPr>
    </w:p>
    <w:p>
      <w:pPr>
        <w:ind w:left="1880"/>
        <w:spacing w:after="0"/>
        <w:tabs>
          <w:tab w:leader="none" w:pos="2520" w:val="left"/>
          <w:tab w:leader="none" w:pos="3240" w:val="left"/>
          <w:tab w:leader="none" w:pos="3980" w:val="left"/>
          <w:tab w:leader="none" w:pos="4280" w:val="left"/>
          <w:tab w:leader="none" w:pos="5220" w:val="left"/>
          <w:tab w:leader="none" w:pos="5680" w:val="left"/>
        </w:tabs>
        <w:rPr>
          <w:sz w:val="20"/>
          <w:szCs w:val="20"/>
          <w:color w:val="auto"/>
        </w:rPr>
      </w:pPr>
      <w:r>
        <w:rPr>
          <w:rFonts w:ascii="Times New Roman" w:cs="Times New Roman" w:eastAsia="Times New Roman" w:hAnsi="Times New Roman"/>
          <w:sz w:val="18"/>
          <w:szCs w:val="18"/>
          <w:color w:val="auto"/>
        </w:rPr>
        <w:t>against</w:t>
        <w:tab/>
        <w:t>liability</w:t>
        <w:tab/>
        <w:t>incurred</w:t>
        <w:tab/>
        <w:t>in</w:t>
        <w:tab/>
        <w:t>connection</w:t>
        <w:tab/>
        <w:t>with</w:t>
        <w:tab/>
        <w:t>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company’s  activities  as  trustee  of  an  occupational</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pension plan).</w:t>
      </w:r>
    </w:p>
    <w:p>
      <w:pPr>
        <w:spacing w:after="0" w:line="9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8"/>
          <w:szCs w:val="18"/>
          <w:color w:val="auto"/>
        </w:rPr>
        <w:t>Under the model articles of public companies, unless a</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poll is demanded by the shareholders of a company 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is required by the chairman of the meeting or by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company’s articles of association, shareholders shall</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vote on all resolutions on a show of hands.  Under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Companies Act 2006, a poll may be demanded by (a)</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not fewer than five shareholders having the right to vote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on the resolution; (b) any</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6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19685</wp:posOffset>
            </wp:positionV>
            <wp:extent cx="24688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9"/>
        <w:spacing w:after="0" w:line="253" w:lineRule="auto"/>
        <w:rPr>
          <w:sz w:val="20"/>
          <w:szCs w:val="20"/>
          <w:color w:val="auto"/>
        </w:rPr>
      </w:pPr>
      <w:r>
        <w:rPr>
          <w:rFonts w:ascii="Times New Roman" w:cs="Times New Roman" w:eastAsia="Times New Roman" w:hAnsi="Times New Roman"/>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82" w:lineRule="exact"/>
        <w:rPr>
          <w:sz w:val="20"/>
          <w:szCs w:val="20"/>
          <w:color w:val="auto"/>
        </w:rPr>
      </w:pPr>
    </w:p>
    <w:p>
      <w:pPr>
        <w:jc w:val="both"/>
        <w:ind w:left="9"/>
        <w:spacing w:after="0" w:line="255"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81" w:lineRule="exact"/>
        <w:rPr>
          <w:sz w:val="20"/>
          <w:szCs w:val="20"/>
          <w:color w:val="auto"/>
        </w:rPr>
      </w:pPr>
    </w:p>
    <w:p>
      <w:pPr>
        <w:ind w:left="129" w:right="20" w:hanging="129"/>
        <w:spacing w:after="0" w:line="261" w:lineRule="auto"/>
        <w:tabs>
          <w:tab w:leader="none" w:pos="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jc w:val="both"/>
        <w:ind w:left="129" w:right="20" w:hanging="129"/>
        <w:spacing w:after="0" w:line="250" w:lineRule="auto"/>
        <w:tabs>
          <w:tab w:leader="none" w:pos="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 w:lineRule="exact"/>
        <w:rPr>
          <w:rFonts w:ascii="Times New Roman" w:cs="Times New Roman" w:eastAsia="Times New Roman" w:hAnsi="Times New Roman"/>
          <w:sz w:val="18"/>
          <w:szCs w:val="18"/>
          <w:color w:val="auto"/>
        </w:rPr>
      </w:pPr>
    </w:p>
    <w:p>
      <w:pPr>
        <w:ind w:left="129" w:right="20" w:hanging="129"/>
        <w:spacing w:after="0" w:line="250" w:lineRule="auto"/>
        <w:tabs>
          <w:tab w:leader="none" w:pos="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negligent payment of unlawful dividends or stock purchases or redemptions; or</w:t>
      </w:r>
    </w:p>
    <w:p>
      <w:pPr>
        <w:ind w:left="129" w:right="20" w:hanging="129"/>
        <w:spacing w:after="0" w:line="260" w:lineRule="auto"/>
        <w:tabs>
          <w:tab w:leader="none" w:pos="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9" w:right="20"/>
        <w:spacing w:after="0" w:line="261"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040" w:space="391"/>
            <w:col w:w="3689"/>
          </w:cols>
          <w:pgMar w:left="440" w:top="1089" w:right="1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England and Wales</w:t>
            </w:r>
          </w:p>
        </w:tc>
        <w:tc>
          <w:tcPr>
            <w:tcW w:w="0" w:type="dxa"/>
            <w:vAlign w:val="bottom"/>
          </w:tcPr>
          <w:p>
            <w:pPr>
              <w:spacing w:after="0"/>
              <w:rPr>
                <w:sz w:val="1"/>
                <w:szCs w:val="1"/>
                <w:color w:val="auto"/>
              </w:rPr>
            </w:pPr>
          </w:p>
        </w:tc>
      </w:tr>
      <w:tr>
        <w:trPr>
          <w:trHeight w:val="191"/>
        </w:trPr>
        <w:tc>
          <w:tcPr>
            <w:tcW w:w="1780" w:type="dxa"/>
            <w:vAlign w:val="bottom"/>
          </w:tcPr>
          <w:p>
            <w:pPr>
              <w:spacing w:after="0"/>
              <w:rPr>
                <w:sz w:val="16"/>
                <w:szCs w:val="16"/>
                <w:color w:val="auto"/>
              </w:rPr>
            </w:pPr>
          </w:p>
        </w:tc>
        <w:tc>
          <w:tcPr>
            <w:tcW w:w="42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shareholder(s) representing not less than 10% of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voting rights of all the shareholders having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 to vote on the resolution; or (c) any shareholder(s)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holding shares in the company conferring a right to vote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the resolution being shares on which an aggregate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sum has been paid up equal to not less than 10% of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sum paid up on all the shares conferring that right.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company’s articles of association may provide more</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extensive rights for shareholders to call a poll.</w:t>
            </w: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Under English law, an ordinary resolution is passed 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show of hands if it is approved by a simple majority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(more than 50%) of the votes cast by shareholders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present (in person or by proxy) and entitled to vote. If a</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poll is demanded, an ordinary resolution is passed if it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 approved by holders representing a simple majority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the total voting rights of shareholders present, in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 or by proxy, who, being entitled to vote, vote 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resolution.</w:t>
            </w:r>
          </w:p>
        </w:tc>
        <w:tc>
          <w:tcPr>
            <w:tcW w:w="2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resolutions  require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affirmative vote of not less than 75% of the votes cast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shareholders present, in person or by proxy, at the</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Companies Act 2006 provides for schemes of</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on Certain</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arrangement, which are arrangements or compromises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between a company and any class of shareholders or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creditors  that  are  used  in  certain  types  of</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reconstructions, amalgamations, capital reorganizations</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takeovers. These arrangements require:</w:t>
            </w: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4"/>
                <w:szCs w:val="24"/>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the approval at a shareholders’ or creditors’ meeting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convened by order of the court, of a majority in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 of shareholders or creditors representing 75%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 value of the capital held by, or debt owed to,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shareholders or creditors, or class thereof present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voting, either in person or by proxy; and</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the approval of the court.</w:t>
            </w:r>
          </w:p>
        </w:tc>
        <w:tc>
          <w:tcPr>
            <w:tcW w:w="0" w:type="dxa"/>
            <w:vAlign w:val="bottom"/>
          </w:tcPr>
          <w:p>
            <w:pPr>
              <w:spacing w:after="0"/>
              <w:rPr>
                <w:sz w:val="1"/>
                <w:szCs w:val="1"/>
                <w:color w:val="auto"/>
              </w:rPr>
            </w:pPr>
          </w:p>
        </w:tc>
      </w:tr>
      <w:tr>
        <w:trPr>
          <w:trHeight w:val="30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Standard of</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Under English law, a director owes various statutory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Conduct for</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fiduciary duties to the company, including:</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to act in the way he considers, in good faith, would be</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4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both"/>
        <w:ind w:left="2020" w:right="120"/>
        <w:spacing w:after="0" w:line="250" w:lineRule="auto"/>
        <w:rPr>
          <w:sz w:val="20"/>
          <w:szCs w:val="20"/>
          <w:color w:val="auto"/>
        </w:rPr>
      </w:pPr>
      <w:r>
        <w:rPr>
          <w:rFonts w:ascii="Times New Roman" w:cs="Times New Roman" w:eastAsia="Times New Roman" w:hAnsi="Times New Roman"/>
          <w:sz w:val="18"/>
          <w:szCs w:val="18"/>
          <w:color w:val="auto"/>
        </w:rPr>
        <w:t>most likely to promote the success of the company for the benefit of its shareholders as a whole, subject in certain specified circumstances to consider or act in the interests of the creditors of the company;</w:t>
      </w:r>
    </w:p>
    <w:p>
      <w:pPr>
        <w:spacing w:after="0" w:line="2" w:lineRule="exact"/>
        <w:rPr>
          <w:sz w:val="20"/>
          <w:szCs w:val="20"/>
          <w:color w:val="auto"/>
        </w:rPr>
      </w:pPr>
    </w:p>
    <w:p>
      <w:pPr>
        <w:ind w:left="2020" w:right="120" w:hanging="134"/>
        <w:spacing w:after="0" w:line="260" w:lineRule="auto"/>
        <w:rPr>
          <w:sz w:val="20"/>
          <w:szCs w:val="20"/>
          <w:color w:val="auto"/>
        </w:rPr>
      </w:pPr>
      <w:r>
        <w:rPr>
          <w:rFonts w:ascii="Times New Roman" w:cs="Times New Roman" w:eastAsia="Times New Roman" w:hAnsi="Times New Roman"/>
          <w:sz w:val="18"/>
          <w:szCs w:val="18"/>
          <w:color w:val="auto"/>
        </w:rPr>
        <w:t>• to avoid a situation in which he has, or can have, a direct or indirect interest that</w:t>
      </w:r>
    </w:p>
    <w:p>
      <w:pPr>
        <w:spacing w:after="0" w:line="3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6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19685</wp:posOffset>
            </wp:positionV>
            <wp:extent cx="24688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9" w:right="20"/>
        <w:spacing w:after="0" w:line="256"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79" w:lineRule="exact"/>
        <w:rPr>
          <w:sz w:val="20"/>
          <w:szCs w:val="20"/>
          <w:color w:val="auto"/>
        </w:rPr>
      </w:pPr>
    </w:p>
    <w:p>
      <w:pPr>
        <w:ind w:left="129" w:hanging="129"/>
        <w:spacing w:after="0"/>
        <w:tabs>
          <w:tab w:leader="none" w:pos="1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board of directors; and</w:t>
      </w:r>
    </w:p>
    <w:p>
      <w:pPr>
        <w:spacing w:after="0" w:line="27" w:lineRule="exact"/>
        <w:rPr>
          <w:rFonts w:ascii="Times New Roman" w:cs="Times New Roman" w:eastAsia="Times New Roman" w:hAnsi="Times New Roman"/>
          <w:sz w:val="18"/>
          <w:szCs w:val="18"/>
          <w:color w:val="auto"/>
        </w:rPr>
      </w:pPr>
    </w:p>
    <w:p>
      <w:pPr>
        <w:jc w:val="both"/>
        <w:ind w:left="129" w:right="20" w:hanging="129"/>
        <w:spacing w:after="0" w:line="252" w:lineRule="auto"/>
        <w:tabs>
          <w:tab w:leader="none" w:pos="1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82" w:lineRule="exact"/>
        <w:rPr>
          <w:sz w:val="20"/>
          <w:szCs w:val="20"/>
          <w:color w:val="auto"/>
        </w:rPr>
      </w:pPr>
    </w:p>
    <w:p>
      <w:pPr>
        <w:jc w:val="both"/>
        <w:ind w:left="9"/>
        <w:spacing w:after="0" w:line="254"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4" w:lineRule="exact"/>
        <w:rPr>
          <w:sz w:val="20"/>
          <w:szCs w:val="20"/>
          <w:color w:val="auto"/>
        </w:rPr>
      </w:pPr>
    </w:p>
    <w:p>
      <w:pPr>
        <w:jc w:val="both"/>
        <w:ind w:left="9" w:right="20"/>
        <w:spacing w:after="0" w:line="282"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w:t>
      </w:r>
    </w:p>
    <w:p>
      <w:pPr>
        <w:sectPr>
          <w:pgSz w:w="11900" w:h="16838" w:orient="portrait"/>
          <w:cols w:equalWidth="0" w:num="2">
            <w:col w:w="6040" w:space="391"/>
            <w:col w:w="3689"/>
          </w:cols>
          <w:pgMar w:left="440" w:top="1089" w:right="1339" w:bottom="1440" w:gutter="0" w:footer="0" w:header="0"/>
        </w:sectPr>
      </w:pPr>
    </w:p>
    <w:bookmarkStart w:id="142" w:name="page143"/>
    <w:bookmarkEnd w:id="142"/>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19685</wp:posOffset>
            </wp:positionV>
            <wp:extent cx="27000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1" w:lineRule="exact"/>
        <w:rPr>
          <w:sz w:val="20"/>
          <w:szCs w:val="20"/>
          <w:color w:val="auto"/>
        </w:rPr>
      </w:pPr>
    </w:p>
    <w:p>
      <w:pPr>
        <w:ind w:left="2020"/>
        <w:spacing w:after="0" w:line="258" w:lineRule="auto"/>
        <w:rPr>
          <w:sz w:val="20"/>
          <w:szCs w:val="20"/>
          <w:color w:val="auto"/>
        </w:rPr>
      </w:pPr>
      <w:r>
        <w:rPr>
          <w:rFonts w:ascii="Times New Roman" w:cs="Times New Roman" w:eastAsia="Times New Roman" w:hAnsi="Times New Roman"/>
          <w:sz w:val="18"/>
          <w:szCs w:val="18"/>
          <w:color w:val="auto"/>
        </w:rPr>
        <w:t>conflicts, or possibly conflicts, with the interests of the company;</w:t>
      </w:r>
    </w:p>
    <w:p>
      <w:pPr>
        <w:jc w:val="both"/>
        <w:ind w:left="2020" w:hanging="138"/>
        <w:spacing w:after="0" w:line="250" w:lineRule="auto"/>
        <w:tabs>
          <w:tab w:leader="none" w:pos="2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accordance with the company’s constitution and only exercise his powers for the purposes for which they are conferred;</w:t>
      </w:r>
    </w:p>
    <w:p>
      <w:pPr>
        <w:spacing w:after="0" w:line="1" w:lineRule="exact"/>
        <w:rPr>
          <w:rFonts w:ascii="Times New Roman" w:cs="Times New Roman" w:eastAsia="Times New Roman" w:hAnsi="Times New Roman"/>
          <w:sz w:val="18"/>
          <w:szCs w:val="18"/>
          <w:color w:val="auto"/>
        </w:rPr>
      </w:pPr>
    </w:p>
    <w:p>
      <w:pPr>
        <w:ind w:left="2020" w:hanging="138"/>
        <w:spacing w:after="0"/>
        <w:tabs>
          <w:tab w:leader="none" w:pos="2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independent judgement;</w:t>
      </w:r>
    </w:p>
    <w:p>
      <w:pPr>
        <w:spacing w:after="0" w:line="9" w:lineRule="exact"/>
        <w:rPr>
          <w:rFonts w:ascii="Times New Roman" w:cs="Times New Roman" w:eastAsia="Times New Roman" w:hAnsi="Times New Roman"/>
          <w:sz w:val="18"/>
          <w:szCs w:val="18"/>
          <w:color w:val="auto"/>
        </w:rPr>
      </w:pPr>
    </w:p>
    <w:p>
      <w:pPr>
        <w:ind w:left="2020" w:hanging="138"/>
        <w:spacing w:after="0"/>
        <w:tabs>
          <w:tab w:leader="none" w:pos="2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reasonable care, skill and diligence;</w:t>
      </w:r>
    </w:p>
    <w:p>
      <w:pPr>
        <w:spacing w:after="0" w:line="9" w:lineRule="exact"/>
        <w:rPr>
          <w:rFonts w:ascii="Times New Roman" w:cs="Times New Roman" w:eastAsia="Times New Roman" w:hAnsi="Times New Roman"/>
          <w:sz w:val="18"/>
          <w:szCs w:val="18"/>
          <w:color w:val="auto"/>
        </w:rPr>
      </w:pPr>
    </w:p>
    <w:p>
      <w:pPr>
        <w:jc w:val="both"/>
        <w:ind w:left="2020" w:hanging="138"/>
        <w:spacing w:after="0" w:line="250" w:lineRule="auto"/>
        <w:tabs>
          <w:tab w:leader="none" w:pos="2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accept benefits from a third party conferred by reason of his being a director or doing, or not doing, anything as a director; and</w:t>
      </w:r>
    </w:p>
    <w:p>
      <w:pPr>
        <w:spacing w:after="0" w:line="1" w:lineRule="exact"/>
        <w:rPr>
          <w:rFonts w:ascii="Times New Roman" w:cs="Times New Roman" w:eastAsia="Times New Roman" w:hAnsi="Times New Roman"/>
          <w:sz w:val="18"/>
          <w:szCs w:val="18"/>
          <w:color w:val="auto"/>
        </w:rPr>
      </w:pPr>
    </w:p>
    <w:p>
      <w:pPr>
        <w:jc w:val="both"/>
        <w:ind w:left="2020" w:hanging="138"/>
        <w:spacing w:after="0" w:line="255" w:lineRule="auto"/>
        <w:tabs>
          <w:tab w:leader="none" w:pos="2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declare any interest that 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Shareholder</w:t>
      </w:r>
      <w:r>
        <w:rPr>
          <w:sz w:val="20"/>
          <w:szCs w:val="20"/>
          <w:color w:val="auto"/>
        </w:rPr>
        <w:tab/>
      </w:r>
      <w:r>
        <w:rPr>
          <w:rFonts w:ascii="Times New Roman" w:cs="Times New Roman" w:eastAsia="Times New Roman" w:hAnsi="Times New Roman"/>
          <w:sz w:val="18"/>
          <w:szCs w:val="18"/>
          <w:color w:val="auto"/>
        </w:rPr>
        <w:t>Under English law, generally, the company, rather than</w:t>
      </w:r>
    </w:p>
    <w:p>
      <w:pPr>
        <w:spacing w:after="0" w:line="2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Litigation</w:t>
      </w:r>
      <w:r>
        <w:rPr>
          <w:sz w:val="20"/>
          <w:szCs w:val="20"/>
          <w:color w:val="auto"/>
        </w:rPr>
        <w:tab/>
      </w:r>
      <w:r>
        <w:rPr>
          <w:rFonts w:ascii="Times New Roman" w:cs="Times New Roman" w:eastAsia="Times New Roman" w:hAnsi="Times New Roman"/>
          <w:sz w:val="18"/>
          <w:szCs w:val="18"/>
          <w:color w:val="auto"/>
        </w:rPr>
        <w:t>its shareholders, is the proper claimant in an action in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respect of a wrong done to the company or where there</w:t>
      </w:r>
    </w:p>
    <w:p>
      <w:pPr>
        <w:spacing w:after="0" w:line="9" w:lineRule="exact"/>
        <w:rPr>
          <w:sz w:val="20"/>
          <w:szCs w:val="20"/>
          <w:color w:val="auto"/>
        </w:rPr>
      </w:pPr>
    </w:p>
    <w:p>
      <w:pPr>
        <w:ind w:left="1880"/>
        <w:spacing w:after="0"/>
        <w:tabs>
          <w:tab w:leader="none" w:pos="2180" w:val="left"/>
          <w:tab w:leader="none" w:pos="2560" w:val="left"/>
          <w:tab w:leader="none" w:pos="3580" w:val="left"/>
          <w:tab w:leader="none" w:pos="3920" w:val="left"/>
          <w:tab w:leader="none" w:pos="4360" w:val="left"/>
          <w:tab w:leader="none" w:pos="5360" w:val="left"/>
        </w:tabs>
        <w:rPr>
          <w:sz w:val="20"/>
          <w:szCs w:val="20"/>
          <w:color w:val="auto"/>
        </w:rPr>
      </w:pPr>
      <w:r>
        <w:rPr>
          <w:rFonts w:ascii="Times New Roman" w:cs="Times New Roman" w:eastAsia="Times New Roman" w:hAnsi="Times New Roman"/>
          <w:sz w:val="18"/>
          <w:szCs w:val="18"/>
          <w:color w:val="auto"/>
        </w:rPr>
        <w:t>is</w:t>
        <w:tab/>
        <w:t>an</w:t>
        <w:tab/>
        <w:t>irregularity</w:t>
        <w:tab/>
        <w:t>in</w:t>
        <w:tab/>
        <w:t>the</w:t>
        <w:tab/>
        <w:t>company’s</w:t>
      </w:r>
      <w:r>
        <w:rPr>
          <w:sz w:val="20"/>
          <w:szCs w:val="20"/>
          <w:color w:val="auto"/>
        </w:rPr>
        <w:tab/>
      </w:r>
      <w:r>
        <w:rPr>
          <w:rFonts w:ascii="Times New Roman" w:cs="Times New Roman" w:eastAsia="Times New Roman" w:hAnsi="Times New Roman"/>
          <w:sz w:val="17"/>
          <w:szCs w:val="17"/>
          <w:color w:val="auto"/>
        </w:rPr>
        <w:t>internal</w:t>
      </w:r>
    </w:p>
    <w:p>
      <w:pPr>
        <w:spacing w:after="0" w:line="9" w:lineRule="exact"/>
        <w:rPr>
          <w:sz w:val="20"/>
          <w:szCs w:val="20"/>
          <w:color w:val="auto"/>
        </w:rPr>
      </w:pPr>
    </w:p>
    <w:p>
      <w:pPr>
        <w:ind w:left="1880"/>
        <w:spacing w:after="0"/>
        <w:tabs>
          <w:tab w:leader="none" w:pos="3000" w:val="left"/>
        </w:tabs>
        <w:rPr>
          <w:sz w:val="20"/>
          <w:szCs w:val="20"/>
          <w:color w:val="auto"/>
        </w:rPr>
      </w:pPr>
      <w:r>
        <w:rPr>
          <w:rFonts w:ascii="Times New Roman" w:cs="Times New Roman" w:eastAsia="Times New Roman" w:hAnsi="Times New Roman"/>
          <w:sz w:val="18"/>
          <w:szCs w:val="18"/>
          <w:color w:val="auto"/>
        </w:rPr>
        <w:t>management.</w:t>
        <w:tab/>
        <w:t>Notwithstanding this general position,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Companies Act 2006 provides that (i) a court may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allow a shareholder to bring a derivative claim (that is,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an action in respect of and on behalf of the company) in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respect of a cause of action arising from an act or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omission involving a director’s negligence, default,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breach of duty or breach of trust and (ii) a shareholder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may  bring  a  claim  for  a  court  order  where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company’s affairs have been or are being conducted in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 manner that is unfairly prejudicial to some or all of its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shareholders.</w:t>
      </w:r>
    </w:p>
    <w:p>
      <w:pPr>
        <w:spacing w:after="0" w:line="200" w:lineRule="exact"/>
        <w:rPr>
          <w:sz w:val="20"/>
          <w:szCs w:val="20"/>
          <w:color w:val="auto"/>
        </w:rPr>
      </w:pPr>
    </w:p>
    <w:p>
      <w:pPr>
        <w:spacing w:after="0" w:line="3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19685</wp:posOffset>
            </wp:positionV>
            <wp:extent cx="24688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 w:lineRule="exact"/>
        <w:rPr>
          <w:sz w:val="20"/>
          <w:szCs w:val="20"/>
          <w:color w:val="auto"/>
        </w:rPr>
      </w:pPr>
    </w:p>
    <w:p>
      <w:pPr>
        <w:jc w:val="both"/>
        <w:ind w:left="9"/>
        <w:spacing w:after="0" w:line="251" w:lineRule="auto"/>
        <w:rPr>
          <w:sz w:val="20"/>
          <w:szCs w:val="20"/>
          <w:color w:val="auto"/>
        </w:rPr>
      </w:pPr>
      <w:r>
        <w:rPr>
          <w:rFonts w:ascii="Times New Roman" w:cs="Times New Roman" w:eastAsia="Times New Roman" w:hAnsi="Times New Roman"/>
          <w:sz w:val="18"/>
          <w:szCs w:val="18"/>
          <w:color w:val="auto"/>
        </w:rPr>
        <w:t>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93" w:lineRule="exact"/>
        <w:rPr>
          <w:sz w:val="20"/>
          <w:szCs w:val="20"/>
          <w:color w:val="auto"/>
        </w:rPr>
      </w:pPr>
    </w:p>
    <w:p>
      <w:pPr>
        <w:jc w:val="both"/>
        <w:ind w:left="9" w:right="20"/>
        <w:spacing w:after="0" w:line="256" w:lineRule="auto"/>
        <w:rPr>
          <w:sz w:val="20"/>
          <w:szCs w:val="20"/>
          <w:color w:val="auto"/>
        </w:rPr>
      </w:pPr>
      <w:r>
        <w:rPr>
          <w:rFonts w:ascii="Times New Roman" w:cs="Times New Roman" w:eastAsia="Times New Roman" w:hAnsi="Times New Roman"/>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79" w:lineRule="exact"/>
        <w:rPr>
          <w:sz w:val="20"/>
          <w:szCs w:val="20"/>
          <w:color w:val="auto"/>
        </w:rPr>
      </w:pPr>
    </w:p>
    <w:p>
      <w:pPr>
        <w:jc w:val="both"/>
        <w:ind w:left="9" w:right="20"/>
        <w:spacing w:after="0" w:line="261" w:lineRule="auto"/>
        <w:rPr>
          <w:sz w:val="20"/>
          <w:szCs w:val="20"/>
          <w:color w:val="auto"/>
        </w:rPr>
      </w:pPr>
      <w:r>
        <w:rPr>
          <w:rFonts w:ascii="Times New Roman" w:cs="Times New Roman" w:eastAsia="Times New Roman" w:hAnsi="Times New Roman"/>
          <w:sz w:val="18"/>
          <w:szCs w:val="18"/>
          <w:color w:val="auto"/>
        </w:rPr>
        <w:t>Under Delaware law, a stockholder may initiate a derivative action to enforce a right of a corporation if the corporation fails to enforce the right itself. The complaint must:</w:t>
      </w:r>
    </w:p>
    <w:p>
      <w:pPr>
        <w:spacing w:after="0" w:line="72" w:lineRule="exact"/>
        <w:rPr>
          <w:sz w:val="20"/>
          <w:szCs w:val="20"/>
          <w:color w:val="auto"/>
        </w:rPr>
      </w:pPr>
    </w:p>
    <w:p>
      <w:pPr>
        <w:jc w:val="both"/>
        <w:ind w:left="9" w:hanging="9"/>
        <w:spacing w:after="0" w:line="261" w:lineRule="auto"/>
        <w:tabs>
          <w:tab w:leader="none" w:pos="1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71" w:lineRule="exact"/>
        <w:rPr>
          <w:rFonts w:ascii="Times New Roman" w:cs="Times New Roman" w:eastAsia="Times New Roman" w:hAnsi="Times New Roman"/>
          <w:sz w:val="18"/>
          <w:szCs w:val="18"/>
          <w:color w:val="auto"/>
        </w:rPr>
      </w:pPr>
    </w:p>
    <w:p>
      <w:pPr>
        <w:jc w:val="both"/>
        <w:ind w:left="129" w:hanging="129"/>
        <w:spacing w:after="0" w:line="255" w:lineRule="auto"/>
        <w:tabs>
          <w:tab w:leader="none" w:pos="12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 with particularity the efforts made by the plaintiff to obtain the action the plaintiff desires from the directors and the reasons for the plaintiff’s failure to obtain the action; or</w:t>
      </w:r>
    </w:p>
    <w:p>
      <w:pPr>
        <w:spacing w:after="0" w:line="2" w:lineRule="exact"/>
        <w:rPr>
          <w:rFonts w:ascii="Times New Roman" w:cs="Times New Roman" w:eastAsia="Times New Roman" w:hAnsi="Times New Roman"/>
          <w:sz w:val="18"/>
          <w:szCs w:val="18"/>
          <w:color w:val="auto"/>
        </w:rPr>
      </w:pPr>
    </w:p>
    <w:p>
      <w:pPr>
        <w:ind w:left="129" w:hanging="129"/>
        <w:spacing w:after="0"/>
        <w:tabs>
          <w:tab w:leader="none" w:pos="12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reasons for not making the effort.</w:t>
      </w:r>
    </w:p>
    <w:p>
      <w:pPr>
        <w:spacing w:after="0" w:line="99" w:lineRule="exact"/>
        <w:rPr>
          <w:sz w:val="20"/>
          <w:szCs w:val="20"/>
          <w:color w:val="auto"/>
        </w:rPr>
      </w:pPr>
    </w:p>
    <w:p>
      <w:pPr>
        <w:ind w:left="9" w:right="20"/>
        <w:spacing w:after="0" w:line="282" w:lineRule="auto"/>
        <w:rPr>
          <w:sz w:val="20"/>
          <w:szCs w:val="20"/>
          <w:color w:val="auto"/>
        </w:rPr>
      </w:pPr>
      <w:r>
        <w:rPr>
          <w:rFonts w:ascii="Times New Roman" w:cs="Times New Roman" w:eastAsia="Times New Roman" w:hAnsi="Times New Roman"/>
          <w:sz w:val="18"/>
          <w:szCs w:val="18"/>
          <w:color w:val="auto"/>
        </w:rPr>
        <w:t>Additionally, the plaintiff must remain a stockholder through the duration of the</w:t>
      </w:r>
    </w:p>
    <w:p>
      <w:pPr>
        <w:sectPr>
          <w:pgSz w:w="11900" w:h="16838" w:orient="portrait"/>
          <w:cols w:equalWidth="0" w:num="2">
            <w:col w:w="5920" w:space="511"/>
            <w:col w:w="3689"/>
          </w:cols>
          <w:pgMar w:left="440" w:top="1089" w:right="1339" w:bottom="1440" w:gutter="0" w:footer="0" w:header="0"/>
        </w:sectPr>
      </w:pPr>
    </w:p>
    <w:bookmarkStart w:id="143" w:name="page144"/>
    <w:bookmarkEnd w:id="143"/>
    <w:p>
      <w:pPr>
        <w:ind w:left="328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England and Wales</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19685</wp:posOffset>
            </wp:positionV>
            <wp:extent cx="53574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derivative suit.  The action will not be dismissed</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or  compromised  without  the  approval  of  the</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Delaware Court of Chancery</w:t>
      </w: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(including the exhibits thereto), we are not currently, and have not been in the last two years, party to any material contract, other than contracts entered into in the ordinary course of our business.</w:t>
      </w:r>
    </w:p>
    <w:p>
      <w:pPr>
        <w:spacing w:after="0" w:line="50" w:lineRule="exact"/>
        <w:rPr>
          <w:sz w:val="20"/>
          <w:szCs w:val="20"/>
          <w:color w:val="auto"/>
        </w:rPr>
      </w:pPr>
    </w:p>
    <w:p>
      <w:pPr>
        <w:ind w:left="360" w:hanging="352"/>
        <w:spacing w:after="0"/>
        <w:tabs>
          <w:tab w:leader="none" w:pos="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our articles of association on the right of non-residents to hold or vote shares.</w:t>
      </w:r>
    </w:p>
    <w:p>
      <w:pPr>
        <w:spacing w:after="0" w:line="68" w:lineRule="exact"/>
        <w:rPr>
          <w:sz w:val="20"/>
          <w:szCs w:val="20"/>
          <w:color w:val="auto"/>
        </w:rPr>
      </w:pPr>
    </w:p>
    <w:p>
      <w:pPr>
        <w:ind w:left="360" w:hanging="352"/>
        <w:spacing w:after="0"/>
        <w:tabs>
          <w:tab w:leader="none" w:pos="3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under present law of the purchase, ownership and disposition of the ADSs. This discussion is based on the U.S. Internal Revenue Code of 1986, as amended, or the Code, for purposes of this discussion,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This discussion applies only to U.S. Holders that hold the ADSs as capital assets for U.S. federal income tax purposes. It does not purport to be a comprehensive description of all tax considerations that may be relevant to a decision to purchase the ADSs by any particular investor. In particular, this discussion does not address tax considerations applicable to a U.S. Holder that may be subject to special tax rules, including, without limitation, a dealer in securities or currencies, a trader in securities that elects to use a mark-to-market method of accounting for securities holdings, banks, thrifts, or other financial institutions, an insurance company, a tax-exempt organization, a person that holds the ADSs as part of a hedge, straddle or conversion transaction for tax purposes, a person whose functional currency for tax purposes is not the U.S. dollar, certain former citizens or residents of the United States or a person that owns directly, indirectly or constructively shares representing 10% or more of our shares by vote or value. Moreover, this description does not address the U.S. federal estate, gift, or alternative minimum tax consequences, or any state, local or non-U.S. tax consequences, of the acquisition, ownership and disposition of the ADSs. In addition, the discussion does not address tax consequences to an entity or arrangement treated as a partnership or other pass-through entity for U.S. federal income tax purposes that holds the ADSs, or a partner in or owner of such partnership or other pass-through entity. The U.S. federal income tax treatment of each partner of such partnership or owner of such pass-through entity generally will depend upon the status of the partner or owner and the activities of the partnership or other pass-through entity. Prospective purchasers that are partners in a partnership or owners of a pass-through entity holding the ADSs are urged to consult their own tax advisers.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below of the U.S. federal income tax consequences to “U.S. Holders” will apply to an investor that is a beneficial owner of ADSs and that is, for U.S. federal income tax purposes,</w:t>
      </w:r>
    </w:p>
    <w:p>
      <w:pPr>
        <w:spacing w:after="0" w:line="54" w:lineRule="exact"/>
        <w:rPr>
          <w:sz w:val="20"/>
          <w:szCs w:val="20"/>
          <w:color w:val="auto"/>
        </w:rPr>
      </w:pPr>
    </w:p>
    <w:p>
      <w:pPr>
        <w:ind w:left="760" w:hanging="378"/>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under the laws of the United States, any state therein or the District of Columbia;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5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a beneficial owner of ADSs generally will be treated as the owner of the underlying ordinary shares represented by such ADSs. Accordingly, deposits or withdrawals of the underlying ordinary shares for ADSs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4" w:name="page145"/>
    <w:bookmarkEnd w:id="144"/>
    <w:p>
      <w:pPr>
        <w:jc w:val="both"/>
        <w:spacing w:after="0" w:line="253" w:lineRule="auto"/>
        <w:rPr>
          <w:sz w:val="20"/>
          <w:szCs w:val="20"/>
          <w:color w:val="auto"/>
        </w:rPr>
      </w:pPr>
      <w:r>
        <w:rPr>
          <w:rFonts w:ascii="Times New Roman" w:cs="Times New Roman" w:eastAsia="Times New Roman" w:hAnsi="Times New Roman"/>
          <w:sz w:val="18"/>
          <w:szCs w:val="18"/>
          <w:color w:val="auto"/>
        </w:rPr>
        <w:t>generally will not be subject to U.S. federal income tax. The discussion below assumes that the representations contained in the deposit agreement are true and that the obligations in the deposit agreement and any related agreement will be complied with in accordance with their terms. U.S. Treasury has expressed concerns that parties to whom ADSs are released before shares are delivered to the depositary or intermediaries in the chain of ownership between the U.S. Holder of an ADS and the issuer of the security underlying the ADS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As a result, the creditability of non-U.S. withholding taxes (if any), and the availability of the reduced tax rate for dividends received by certain non-corporate U.S. Holders, each described below, could be affected by actions taken by such parties or intermediaries. Accordingly, U.S. 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advisors about the application of the U.S. federal income tax rules to your particular circumstances as well as the state, local, non-U.S. and other tax consequences of the purchase, ownership and disposition of the ADSs.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classified as a passive foreign investment company, or PFIC, in a particular taxable year if either (i) 75% or more of the corporation’s gross income for the taxable year is passive income or (ii) on average at least 50% of the value of the corporation’s assets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w:t>
      </w:r>
    </w:p>
    <w:p>
      <w:pPr>
        <w:spacing w:after="0" w:line="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making this determination, we will be treated as earning our proportionate share of any income and owning our proportionate share of any assets of any corporation in which we hold a 25% or greater interest (by value). Because PFIC status must be determined annually based on tests which are factual in nature, our PFIC status will depend on our income, assets and activities each year, including whether certain research and development tax credits received from the government of the United Kingdom will constitute gross income, and, if they do, whether they will constitute passive income for purposes of the PFIC income test. In addition, for purposes of the PFIC asset test, the value of our assets will depend in part on the market price of our ordinary shares, which may fluctuate significantly. If we are classified as a PFIC for any taxable year, a U.S. Holder may be able to mitigate some of the resulting adverse U.S. federal income tax consequences described below with respect to owning the ADSs, provided that such U.S. Holder is eligible to make, and validly makes a “mark-to-market” election, described below. In certain circumstances a U.S. Holder can make a “qualified electing fund” election to mitigate some of the adverse tax consequences described with respect to an ownership interest in a PFIC by including in income its share of the PFIC’s income on a current basis. We intend to provide the information necessary for a U.S. investor to make a qualified electing fund or election, or QEF Election with respect to us. A U.S. Holder can make a QEF Election in the first taxable year that the entity is treated as a PFIC with respect to the U.S. Holder.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8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expect to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5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If a U.S. Holder makes a QEF Election with respect to a PFIC, the U.S. Holder will be taxed on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event that we are classified as a PFIC in any year in which a U.S. Holder holds the ADSs, and neither a QEF Election nor the “mark-to-market” election described below is made by a taxable U.S. Holder, a special tax regime will apply with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5" w:name="page146"/>
    <w:bookmarkEnd w:id="145"/>
    <w:p>
      <w:pPr>
        <w:jc w:val="both"/>
        <w:spacing w:after="0" w:line="254" w:lineRule="auto"/>
        <w:rPr>
          <w:sz w:val="20"/>
          <w:szCs w:val="20"/>
          <w:color w:val="auto"/>
        </w:rPr>
      </w:pPr>
      <w:r>
        <w:rPr>
          <w:rFonts w:ascii="Times New Roman" w:cs="Times New Roman" w:eastAsia="Times New Roman" w:hAnsi="Times New Roman"/>
          <w:sz w:val="18"/>
          <w:szCs w:val="18"/>
          <w:color w:val="auto"/>
        </w:rPr>
        <w:t>respect to such U.S. Holder to both (a) any gain realized on the sale or other disposition of the ADSs and (b) any “excess distribution” by us to such U.S. Holder (generally, such U.S. Holder’s ratable portion of distributions received by such U.S. Holder in any year which are greater than 125% of the average annual distribution received by such U.S. Holder in the shorter of the three preceding years or such U.S. Holder’s holding period for the ADSs). Any gain recognized by such U.S. Holder on a sale or other disposition (including a pledge) of the ADSs and any excess distribution would be allocated ratably over such U.S. Holder’s holding period for the ADSs.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the interest charge generally applicable to underpayments of tax would be imposed on taxes deemed to have been payable in for the relevant taxable PFIC years. Classification as a PFIC may also have other adverse tax consequences, including, in the case of U.S. Holders that are individuals, the denial of a step-up in the basis of such U.S. Holder’s ADSs at death.</w:t>
      </w:r>
    </w:p>
    <w:p>
      <w:pPr>
        <w:spacing w:after="0" w:line="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Based on our estimated gross income, the average value of our assets, including goodwill and the nature of our active business, we believe we were a PFIC for U.S. income tax purposes for the taxable year ending December 31, 2025.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Generally, once a corporation is classified as a PFIC with respect to a particular shareholder, such corporation will continue to be a PFIC with respect to such shareholder for so long as such shareholder continues to hold the corporation’s stock, regardless of whether such corporation is not classified as a PFIC in any particular taxable year as a result of its gross income or the value of its assets. Accordingly, U.S. Holders should invest in our ADSs only if they are willing to bear the U.S. federal income tax consequences associated with investments in PFICs.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Mark-to-Market Election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If we are a PFIC for any taxable year during which a U.S. Holder holds the ADSs, then in lieu of being subject to the special tax regime and interest charge rules discussed above, a U.S. Holder may make an election to include gain on the ADSs as ordinary income under a mark-to-market method, provided that the ADSs are treated as “regularly traded” on a “qualified exchange.” In general, the ADSs will be treated as “regularly traded” for a given calendar year if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ADSs are traded on a qualified exchange on at least 15 days during each calendar quarter of such calendar year. Although the U.S. Internal Revenue Service, or the IRS, has not published any authority identifying specific exchanges that may constitute “qualified exchanges,” Treasury Regulations provide that a qualified exchange is (a) a U.S. securities exchange that is registered with the SEC, (b) the U.S. market system established pursuant to section 11A of the</w:t>
      </w:r>
    </w:p>
    <w:p>
      <w:pPr>
        <w:spacing w:after="0" w:line="8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Exchange Act,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shares. We have received approval to list our ADSs on the Nasdaq Capital Market, which is a U.S. securities exchange that is registered with the SEC. However, no assurance can be given that the ADSs will meet the requirements to be treated as “regularly traded” for purposes of the mark-to-market election. In addition, because a mark-to-market election cannot be made for any lower-tier PFICs that we may own, a U.S. Holder may continue to be subject to the special tax regime with respect to such holder’s indirect interest in any investments held by us that are treated as an equity interest in a PFIC for U.S. federal income tax purposes, including shares in any future subsidiary of ours that is treated as a PFIC.</w:t>
      </w:r>
    </w:p>
    <w:p>
      <w:pPr>
        <w:spacing w:after="0" w:line="8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a U.S. Holder makes this mark-to-market election, such U.S. Holder will be required in any year in which we are a PFIC to include as ordinary income the excess of the fair market value of such U.S. Holder’s ADSs at year end over its basis in those ADSs. In addition, the excess, if any, of such U.S. Holder’s basis in the ADSs over the fair market value of such U.S. Holder’s ADSs at year end is deductible as an ordinary loss in an amount equal to the lesser of (i) the amount of the excess or (ii) the amount of the net mark-to-market gains that have been included in income in prior years by such U.S. Holder. Any gain recognized by such U.S. Holder upon the sale of such U.S. Holder’s ADSs will be taxed as ordinary income in the year of sale. Amounts treated as ordinary income will not be eligible for the preferential tax rate applicable to qualified dividend income or long-term capital gains. A U.S. Holder’s adjusted tax basis in the ADSs will be increased by the amount of 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6" w:name="page147"/>
    <w:bookmarkEnd w:id="146"/>
    <w:p>
      <w:pPr>
        <w:jc w:val="both"/>
        <w:spacing w:after="0" w:line="266" w:lineRule="auto"/>
        <w:rPr>
          <w:sz w:val="20"/>
          <w:szCs w:val="20"/>
          <w:color w:val="auto"/>
        </w:rPr>
      </w:pPr>
      <w:r>
        <w:rPr>
          <w:rFonts w:ascii="Times New Roman" w:cs="Times New Roman" w:eastAsia="Times New Roman" w:hAnsi="Times New Roman"/>
          <w:sz w:val="18"/>
          <w:szCs w:val="18"/>
          <w:color w:val="auto"/>
        </w:rPr>
        <w:t>income inclusion and decreased by the amount of any deductions under the mark-to-market rules. If a U.S. Holder makes a mark-to-market election, it will be effective for the taxable year for which the election is made and all subsequent taxable years unless the ADSs are no longer regularly traded on a qualified exchange or the IRS consents to the revocation of the election.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Foreign Corporation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2017, the Tax Cuts and Jobs Act, or the Tax Act eliminated the prohibition on “downward attribution” from non-U.S. persons to U.S. persons under Section 958(b)(4) of the Code for purposes of determining constructive stock ownership under the controlled foreign corporation, or CFC rules. As a result, for taxable years beginning before January 1, 2026, our U.S. subsidiary will be deemed to own all of the stock of our non-U.S. subsidiaries held by the Company for CFC purposes. To the extent a non-U.S. subsidiary is treated as a CFC for any taxable year, each U.S. person treated as a “10% U.S. Shareholder” with respect to such CFC that held our ordinary shares directly or indirectly through non-U.S. entities (including the Company) as of the last day in such taxable year that the subsidiary was a CFC would generally be required to include in gross income as ordinary income its pro rata share of certain investment income of the CFC, regardless of whether that income was actually distributed to such U.S. person (with certain adjustments).</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However, the One Big Beautiful Bill Act, or the OBBBA, enacted on July 4, 2025, limited the downward attributions rules by generally reinstating the prohibition on downward attribution while adding a new Code section which would apply the downward attribution rules only in certain situations as discussed below. Accordingly, for taxable years beginning after December 31, 2025, the relevant “downward attribution” rule will no longer apply and our non-U.S. subsidiaries will generally be treated as CFCs only if the Company is treated as a CFC. Accordingly, each 10% U.S. Shareholder that held our ADSs directly or indirectly through one or more non-U.S. entities of a non-U.S. corporation that is a CFC at any time during a taxable year generally would be required to include in gross income as ordinary income its pro rata share of certain investment income of the CFC (with certain adjustments), regardless of whether that income was actually distributed to such U.S. person.</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“10% U.S. Shareholder” of a non-U.S. corporation includes any U.S. person that owns (or is treated as owning) directly, indirectly or constructively, stock of the non-U.S. corporation possessing 10% or more of the total voting power or total value of such non-U.S. corporation’s stock.</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entity treated as a foreign corporation for U.S. federal income tax purposes is generally considered a CFC if 10% U.S. Shareholders own (directly, indirectly through non-U.S. entities or constructively), in the aggregate, more than 50% of the total combined voting power of all classes of stock of that non-U.S. corporation or more than 50% of the total value of all stock of that non-U.S. corporation. Whether the Company is a CFC for a taxable year will depend upon facts regarding our direct and indirect shareholders, about which we have limited information. Accordingly, no assurance can be provided that the Company will not be a CFC.</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For taxable years of non-U.S. corporations beginning after December 31, 2025, a non-U.S. corporation will be treated as a “foreign controlled foreign corporation,” or FCFC, if (1) it is not a CFC and (2) “Foreign Controlled United States Shareholders” (as defined below) collectively own, directly, indirectly through certain entities or constructively (by application of the rules set forth in Section 958(b) of the Code, generally applying to options, family members, partnerships, estates, trusts or corporations, other than Section 958(b)(4) of the Code, generally prohibiting the attribution of stock owned by non-U.S. partners, beneficiaries or shareholders to U.S. partnerships, estates, trusts and corporations, as applicable), more than 50% of the total combined voting power or total value of the corporation’s stock. Under Section 951B(b) of the Code, any United States person (as defined in Section 957(c) of the Code) who owns directly, indirectly through certain entities or constructively (by application of the rules described in the preceding sentence) 50% or more of the total combined voting power or value of all classes of stock of the non-U.S. corporation will be considered to be a “Foreign Controlled United States Shareholder”. In general, the rules described above with respect to U.S. Shareholders of CFCs also apply to Foreign Controlled United States Shareholders of FCFCs.</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the extent that a non-U.S. subsidiary is treated as a CFC and as a PFIC for any taxable year, such non-U.S. subsidiary will be treated as a CFC and not as a PFIC with respect to any 10% U.S. Shareholder. Failure to comply with these reporting and tax paying obligations may subject a 10% U.S. Shareholder to significant monetary penalties and may prevent the statute of limitations with respect to such shareholder’s U.S. federal income tax return for the year for which reporting was due from starting.</w:t>
      </w:r>
    </w:p>
    <w:p>
      <w:pPr>
        <w:spacing w:after="0" w:line="68"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own tax advisors to determine whether your ownership of the ADSs will cause you to become a 10% U.S. Shareholder and the impact of such a classification.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Requirements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each such U.S. Holder generally will be required to file an annual information return on IRS Form 8621 containing such information as the U.S. Treasury Department may require. Additionally, there are additional reporting requirements if you are a 10% U.S. Shareholder as a result of your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7" w:name="page148"/>
    <w:bookmarkEnd w:id="147"/>
    <w:p>
      <w:pPr>
        <w:jc w:val="both"/>
        <w:spacing w:after="0" w:line="282" w:lineRule="auto"/>
        <w:rPr>
          <w:sz w:val="20"/>
          <w:szCs w:val="20"/>
          <w:color w:val="auto"/>
        </w:rPr>
      </w:pPr>
      <w:r>
        <w:rPr>
          <w:rFonts w:ascii="Times New Roman" w:cs="Times New Roman" w:eastAsia="Times New Roman" w:hAnsi="Times New Roman"/>
          <w:sz w:val="18"/>
          <w:szCs w:val="18"/>
          <w:color w:val="auto"/>
        </w:rPr>
        <w:t>ownership of the ADSs, including filing an information return on IRS Form 5471. The failure to file IRS Form 8621 or IRS Form 5471, as applicable, could result in the imposition of penalties and the extension of the statute of limitations with respect to U.S. federal income tax.</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U.S. federal income tax rules relating to PFICs and CFCs are complex. U.S. Holders are urged to consult their tax advisors with respect to the purchase, ownership and disposition of the ADSs, the availability of the mark-to-market election and whether making the election would be advisable in their particular circumstances, CFC ownership rules and the IRS information reporting obligations with respect to the purchase, ownership and disposition of the ADSs.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the ADSs</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Subject to the discussion above under the heading “—Passive Foreign Investment Company Considerations”, generally the gross amount of distributions made by us, if any, to a U.S. Holder with respect to the ADSs, before reduction for any non-U.S. taxes withheld therefrom, will be includable in gross income as a dividend to the extent that such distribution is paid out of our current or accumulated earnings and profits (as determined under U.S. federal income tax principles). To the extent, if any, that the amount of any cash distribution exceeds our current and accumulated earnings and profits, it will be treated first as a tax-free return of such U.S. Holder’s tax basis in its ADSs, and to the extent the amount of the distribution exceeds such U.S. Holder’s tax basis, the excess will be taxed as capital gain. We do not intend to calculate our earnings and profits under U.S. federal income tax principles. Therefore, a U.S. Holder should expect that a distribution will generally be treated as a dividend even if that distribution would otherwise be treated as a non-taxable return of capital or as capital gain under the rules described above. A dividend in respect of the ADSs will not be eligible for the dividends-received deduction allowed to corporations in respect of dividends received from other U.S. corporations. Non-corporate U.S. Holders may qualify for the lower rates of taxation with respect to dividends on ADSs applicable to long term capital gains (i.e., gains from the sale of capital assets held for more than one year), provided that certain conditions are met, including certain holding period requirements and the absence of certain risk reduction transactions. However, such reduced rate shall not apply if we are a PFIC for the taxable year in which we pay a dividend or were a PFIC in the preceding taxable year. As indicated in the section titled “Dividend Policy” herein, we intend to retain any earnings for use in our business and do not currently intend to pay dividends on our ordinary shares.</w:t>
      </w:r>
    </w:p>
    <w:p>
      <w:pPr>
        <w:spacing w:after="0" w:line="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Subject to the paragraph below, dividends generally will constitute income from sources outside the United States, which may be relevant in calculating a U.S. Holder’s foreign tax credit limitation. For this purpose, dividends that we distribute generally should constitute “passive category income,” or, in the case of certain U.S. Holders, “general category income.” Dividend payments may be made without withholding or deduction for or on account of U.K. tax.</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Notwithstanding the paragraph above, if 50% or more of the ADSs are treated as held by U.S. persons, we will be treated as a “U.S.-owned foreign corporation.” In that case, dividends may be treated for U.S. foreign tax credit purposes as income from sources outside the United States to the extent paid out of our non-U.S. source earnings and profits, and as income from sources within the United States to the extent paid out of our U.S. source earnings and profits. There can be no assurance that we will not be treated as a U.S.-owned foreign corporation. If the dividends are taxed at the lower tax rates generally applicable to long-term capital gains (as discussed above), the amount of the dividend taken into account for purposes of calculating the U.S. foreign tax credit limitation will generally be limited to the gross amount of the dividend, multiplied by the preferential rate divided by the highest rate of tax normally applicable to dividends. The rules relating to the determination of the foreign tax credit are complex, and U.S. Holders are urged to consult their tax advisors to determine whether and to what extent such U.S. Holder will be entitled to a foreign tax credit.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ADSs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Subject to the discussion above under “—Passive Foreign Investment Company Considerations”, a U.S. Holder will recognize taxable gain or loss on any sale, exchange or other taxable disposition of an ADS equal to the difference between the amount realized (the amount of cash (in U.S. dollars) plus the fair market value of any property received) for the ADS and such U.S. Holder’s tax basis (in U.S. dollars) in the ADS. The gain or loss will generally be capital gain or loss. Such capital gain or loss generally will be long-term capital gain taxable at a reduced rate for non-corporate U.S. Holders or long-term capital loss if, on the date of sale, exchange or other disposition, the ADSs were held by the U.S. Holder for more than one year. The deductibility of capital losses is subject to limitations. Any such gain or loss generally will be treated as U.S. source income or loss for U.S. foreign tax credit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Foreign Currency</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regarding the tax consequences of receiving, converting or disposing of any non-U.S. currency received as dividends on our ADSs or on the sale or retirement of an ADS.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Net Investment Income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8" w:name="page149"/>
    <w:bookmarkEnd w:id="148"/>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 additional 3.8% Medicare tax may be imposed on some or all of such U.S. Holder’s “net investment income.” Net investment income generally includes income from the ADSs unless such income is derived in the ordinary course of the conduct of a trade or business (other than a trade or business that consists of certain passive or trading activities). You should consult your tax advisors regarding the effect this Medicare tax may have, if any, on your acquisition, ownership or disposition of the ADSs.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Distributions with respect to ADSs and proceeds from the sale, exchange or disposition of ADSs may be subject to information reporting to the IRS, and possible U.S. backup withholding (currently at a rate of 24%). Backup withholding will not apply, however, to a U.S. Holder who furnishes a correct taxpayer identification number and makes any other required certification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a U.S. Holder may obtain a refund of any excess amounts withheld under the backup withholding rules by filing the appropriate claim for refund with the IRS and furnishing any required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Information Reporting</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U.S. Holders who are either individuals or certain domestic entities may be required to submit certain information to the IRS with respect to such holder’s beneficial ownership of the ADSs, if such ADSs are not held on such holder’s behalf by a financial institution, as our ordinary shares are considered “specified foreign financial assets.” This law also imposes penalties and potential other adverse tax consequences if a U.S. Holder is required to submit such information to the IRS and fails to do so. U.S. Holders are urged to consult their tax advisors regarding the potential information reporting obligations that may be imposed with respect to the ownership and disposition of the ADSs.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above description is not intended to constitute a complete analysis of all tax consequences relating to acquisition, ownership and disposition of the ADSs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Prospective purchasers are urged to consult their tax advisors concerning the tax consequences related to their particular circumstances.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 Tax Considerations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is a general summary of certain United Kingdom tax considerations relating to the ownership and disposal of the ADSs and does not address all possible tax consequences relating to an investment in the ADSs. It is based on current U.K. tax law and published HM Revenue &amp; Customs, or HMRC, practice as of the date of this Annual Report, both of which are subject to change, possibly with retrospective effect.</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United Kingdom taxation section is written on the basis that the company is and remains resident for tax purposes in the United Kingdom only and will therefore be subject to the U.K. tax regime and not the U.S. tax regime (save as discussed in the section titled “Material U.S. Federal Income Tax Considerations” above). On this basis, dividends paid by the company will be regarded as U.K. dividends, not U.S. dividends.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Except as provided otherwise, this summary applies only to persons who are resident in the United Kingdom for tax purposes and who are not resident for tax purposes in any other jurisdiction, and do not have a permanent establishment or fixed base in any other jurisdiction with which the holding of the ADSs is connected. Such persons are referred to herein as U.K. Holders. Persons (a) who are not resident in the United Kingdom for tax purposes, including those individuals and companies who trade in the United Kingdom through a branch, agency or permanent establishment in the United Kingdom to which the ADSs are attributable, or (b) who are resident or otherwise subject to tax in a jurisdiction outside the United Kingdom, are recommended to seek the advice of professional advisers in relation to their taxation obligations.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summary is for general information only and is not intended to be, nor should it be considered to be, legal or tax advice to any particular investor. It does not address all of the tax considerations that may be relevant to specific investors in light of their particular circumstances or to investors subject to special treatment under U.K. tax law. In particular:</w:t>
      </w:r>
    </w:p>
    <w:p>
      <w:pPr>
        <w:spacing w:after="0" w:line="68" w:lineRule="exact"/>
        <w:rPr>
          <w:sz w:val="20"/>
          <w:szCs w:val="20"/>
          <w:color w:val="auto"/>
        </w:rPr>
      </w:pPr>
    </w:p>
    <w:p>
      <w:pPr>
        <w:ind w:left="760" w:right="20" w:hanging="378"/>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summary only applies to the absolute beneficial owners of the ADSs (and where the ADSs are not held through an Individual Savings Account or a Self-Invested Personal Pension);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summary: (a) only addresses the principal U.K. tax consequences for investors who hold the ADSs as capital assets, (b) does not address the tax consequences that may be relevant to certain special classes of investor such as dealers, brokers or traders in shares or securities and other persons who hold the ADSs otherwise than as an investment, (c) does not address the tax consequences for holders that are financial institutions, insurance companies, collective investment schemes, pension schemes, charities or tax-exempt organizations, (d) assumes that the holder is not an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9" w:name="page150"/>
    <w:bookmarkEnd w:id="149"/>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officer or employee of the company (or of any related company) and has not (and is not deemed to have) acquired the ADSs or related ordinary shares by virtue of an office or employment, and (e) assumes that the holder does not control or hold (and is not deemed to control or hold), either alone or together with one or more associated or connected persons, directly or indirectly (including through the holding of the related ordinary shares or ADSs), an interest of 10% or more in the issued share capital (or in any class thereof or ADSs), voting power, rights to profits or capital of the company, and is not otherwise connected with the company.</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summary further assumes, on the basis of HMRC guidance, that a holder of ADSs will be regarded by HMRC as the beneficial owner of the underlying ordinary shares and of any dividends paid in respect of the related ordinary shares (where the dividends are regarded for U.K. tax purposes as that person’s own income (and not the income of some other person)) for U.K. tax purposes.</w:t>
      </w:r>
    </w:p>
    <w:p>
      <w:pPr>
        <w:spacing w:after="0" w:line="64"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Potential investors in ADSs should satisfy themselves prior to investing as to the overall tax consequences, including, specifically, the consequences under U.K. tax law and HMRC practice of the acquisition, ownership and disposal of ADSs in their own particular circumstances by consulting their own tax advisers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 particular, non-U.K. resident persons are advised to consider the potential impact of any relevant double taxation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17"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Withholding Tax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payments in respect of ADSs or ordinary shares may be made without withholding or deduction for or on account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U.K. tax.</w:t>
      </w:r>
    </w:p>
    <w:p>
      <w:pPr>
        <w:spacing w:after="0" w:line="4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United Kingdom Income Tax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individual U.K. Holder (being an individual who is resident for tax purposes in the United Kingdom) who receives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dividend from the company will generally be subject to income tax on the dividend. For the tax year 2025/2026, an individual U.K. Holder will generally pay income tax at a rate of 0% on the first £500 of dividends received by such U.K. Holder. Dividend income taxed at 0% will be taken into account in determining the rate at which income in excess of this tax-free allowance will (subject to the availability of any income tax personal allowance) be taxed. This is not expected to change for the tax year 2026/2027.</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individual U.K. Holder who is subject to income tax at the basic rate will be liable to tax on the dividend at the marginal rate of 8.75% for the tax year 2025/2026 (this will increase to 10.75% for the tax year 2026/2027). An individual U.K. Holder who is subject to income tax at the higher rate (but not the additional rate) will be liable to income tax on the dividend at the current rate of 33.75% for the tax year 2025/2026 to the extent that such sum, when treated as the top slice of that holder’s income, exceeds the threshold for higher rate income tax. This rate will increase to 35.75% for the tax year 2026/2027.</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 individual U.K. Holder liable to income tax at the additional rate will be subject to income tax on the dividend at the rate of 39.35% to the extent that the holder’s income (including the dividend) exceeds the threshold for the additional rate. This rate is expected to apply for both tax years 2025/2026 and 2026/2027.</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Individuals who are Scottish taxpayers will pay tax on dividends at the same dividend tax rates as other U.K. taxpayers and as if they paid income tax by reference to the U.K. income tax thresholds rather than by reference to the thresholds otherwise applicable to Scottish taxpayers.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 individual who is not a U.K. Holder (other than one carrying on a trade, profession or vocation in the United Kingdom through a branch or agency to which the ADSs are attributable) who is resident for tax purposes outside the United Kingdom will not have any U.K. tax to pay on dividends received from the company.</w:t>
      </w:r>
    </w:p>
    <w:p>
      <w:pPr>
        <w:spacing w:after="0" w:line="64"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United Kingdom Corporation Tax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U.K. Holder within the charge to U.K. corporation tax may be entitled to exemption from U.K. corporation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respect of dividend payments. If the conditions for the exemption are not satisfied, or such U.K. Holder elects for an otherwise exempt dividend to be taxable, United Kingdom corporation tax will be chargeable on the amount of any dividends. The main rate of United Kingdom corporation tax for the 2025/2026 corporation tax year is 25% for U.K. corporations (or corporate groups) with annual profits of £250,000 or higher. If potential investors are in any doubt as to their position, they should consult their own professional advisers.</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corporate holder of ADSs that is not a U.K. Holder will not be subject to U.K. corporation tax on dividends received from the company, unless it carries on a trade in the United Kingdom through a permanent establishment to which the ADSs are attributable. In these circumstances, such holder may, depending on its individual circumstances and if the exemption from U.K. corporation tax discussed above does not apply, be chargeable to U.K. corporation tax on dividends received from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1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U.K.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disposal or deemed disposal of ADSs by an individual U.K. Holder may (depending on the individual circumstances) give rise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chargeable gain or to an allowable loss for the purpose of U.K. capital gains tax. The principal factors that will determine the capital gains tax position on a disposal of ADSs are the extent to which the U.K. Holder realizes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0" w:name="page151"/>
    <w:bookmarkEnd w:id="150"/>
    <w:p>
      <w:pPr>
        <w:jc w:val="both"/>
        <w:spacing w:after="0" w:line="256" w:lineRule="auto"/>
        <w:rPr>
          <w:sz w:val="20"/>
          <w:szCs w:val="20"/>
          <w:color w:val="auto"/>
        </w:rPr>
      </w:pPr>
      <w:r>
        <w:rPr>
          <w:rFonts w:ascii="Times New Roman" w:cs="Times New Roman" w:eastAsia="Times New Roman" w:hAnsi="Times New Roman"/>
          <w:sz w:val="18"/>
          <w:szCs w:val="18"/>
          <w:color w:val="auto"/>
        </w:rPr>
        <w:t>any other capital gains in the tax year in which the disposal is made, the extent to which the holder has incurred capital losses in that or any earlier tax year and the level of the annual allowance of tax-free gains in that tax year, or the Annual Exemption. The Annual Exemption for the 2025/2026 tax year is £3,000. If, after all allowable deductions, an individual U.K. Holder who is subject to U.K. income tax at either the higher or the additional rate becomes liable to U.K. capital gains tax on the disposal of ADSs, the current applicable rate is 24%. For an individual U.K. Holder who is subject to U.K. income tax at the basic rate and, after all allowable deductions, liable to U.K. capital gains tax on such disposal the current applicable rate is 18%, save to the extent that any capital gains exceed the unused basic rate tax band. In that case the current rate applicable to the excess is 24%.</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individual U.K. Holder who ceases to be resident in the United Kingdom (or who fails to be regarded as resident in a territory outside the United Kingdom for the purposes of double taxation relief) for a period of less than five years and who disposes of his or her ADSs during that period of temporary non-residence may be liable to U.K. capital gains tax on a chargeable gain accruing on such disposal on his or her return to the United Kingdom (or upon ceasing to be regarded as resident outside the United Kingdom for the purposes of double taxation relief) (subject to available exemptions or reliefs).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disposal or deemed disposal of ADSs by a corporate U.K. Holder may give rise to a chargeable gain or an allowable loss for the purpose of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tax.</w:t>
      </w:r>
    </w:p>
    <w:p>
      <w:pPr>
        <w:spacing w:after="0" w:line="95"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Non-United Kingdom Holders</w:t>
      </w:r>
      <w:r>
        <w:rPr>
          <w:rFonts w:ascii="Times New Roman" w:cs="Times New Roman" w:eastAsia="Times New Roman" w:hAnsi="Times New Roman"/>
          <w:sz w:val="18"/>
          <w:szCs w:val="18"/>
          <w:color w:val="auto"/>
        </w:rPr>
        <w:t>. The paragraphs below relating to the liability of non-U.K. Holders to U.K. tax on chargeable gains assume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does not (and will not) derive 75% or more of its gross asset value from U.K. land.</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 individual holder who is not a U.K. Holder will not be liable to U.K. capital gains tax on capital gains realized on the disposal of his or her ADSs unless such holder carries on (whether solely or in partnership) a trade, profession or vocation in the United Kingdom through a permanent establishment in the United Kingdom to which the ADSs are attributable. In these circumstances, such holder may, depending on his or her individual circumstances, be chargeable to U.K. capital gains tax on chargeable gains arising from a disposal of his or her ADSs.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corporate holder of ADSs that is not a U.K. Holder will not be liable for U.K. corporation tax on chargeable gains realized on the disposal of its ADSs unless it carries on a trade in the United Kingdom through a permanent establishment to which the ADSs are attributable. In these circumstances, a disposal of ADSs by such holder may give rise to a chargeable gain or an allowable loss for the purposes of U.K. corporation tax.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statements below in relation to U.K. stamp duty and stamp duty reserve tax, or SDRT, apply irrespective of whether the relevant holder of ADSs is resident in the United Kingdom.</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confirmed in the Finance (No. 2) Bill 2025-26 published in December 2025, the U.K. Government intends to modernize the current stamp taxes on shares framework by replacing the current dual system of stamp duty and stamp duty reserve tax with a single, digital, self-assessed tax on securities, with implementing Regulations to be published in due course and changes expected to take effect in 2027. Although the U.K. Government has indicated that the reform is not intended to alter the circumstances in which stamp taxes will apply to share transactions, it is possible that the introduction of a new stamp tax regime in the U.K. may have an impact on the extent to which holders of ADSs may be subject to U.K. stamp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 and Transfer of Ordinary Shares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Issue (including to a depositary or clearance service)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U.K. stamp duty is payable on the issue of the ordinary shares.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will be no SDRT payable on the issue of ordinary shares to a depositary receipt system or a clearance service. We understand that HMRC recognizes The Depositary Trust Company, or DTC, as a clearance service for United Kingdom stamp duty and SDRT purposes.</w:t>
      </w:r>
    </w:p>
    <w:p>
      <w:pPr>
        <w:spacing w:after="0" w:line="5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Transfer to a depositary or clearance service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Transfers of, and unconditional agreements to transfer, ordinary shares to, or to a nominee or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person whose business is or includes issuing depositary receipts or the provision of clearance services, will generally be regarded by HMRC as subject to SDRT (and where the transfer is effected by a written instrument, stamp duty) at a rate of 1.5% of the amount or value of the consideration or, in certain circumstances, the value of the ordinary shares transferred unless, (a) in the case of a clearance service, it has made an election under section 97A(1) Finance Act 1986, or (b) such transfer is in the course of an exempt capital-raising arrangement or an exempt listing arrangement. Transfers of ordinary shares between depositary receipt systems and clearance services will generally be exempt from stamp duty and SDRT unless, in the case of a clearance service, it has made an election under section 97A(1) Finance Act 1986. Our understanding is that DTC has not made such an election.</w:t>
      </w:r>
    </w:p>
    <w:p>
      <w:pPr>
        <w:spacing w:after="0" w:line="75"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on 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transfer on sale of ordinary shares by a written instrument of transfer will generally be liable to U.K. stamp duty at the rate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0.5% of the amount or value of the consideration for the transfer. The purchaser normally pays the stamp duty.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1" w:name="page152"/>
    <w:bookmarkEnd w:id="151"/>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transfer of ordinary shares within a depositary receipt system or clearance service should not be subject to stamp duty or SDRT, except where a clearance service has made an election under section 97A(1) Finance Act 1986. Our understanding is that DTC has not made such an election.</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agreement to transfer ordinary shares outside a depositary receipt system or a clearance service will, subject to any applicable exemptions,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 or Transfer of ADSs/ADRs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current HMRC published practice, no U.K. stamp duty or SDRT should be payable on the issue or transfer of (including an unconditional agreement to transfer) a depositary receipt and the ADS to which they relate, on the basis that a depositary receipt is not regarded as “stock” or a “marketable security” for U.K. stamp duty purposes and is not considered a “chargeable security” for the purposes of SDRT.</w:t>
      </w:r>
    </w:p>
    <w:p>
      <w:pPr>
        <w:spacing w:after="0" w:line="64" w:lineRule="exact"/>
        <w:rPr>
          <w:sz w:val="20"/>
          <w:szCs w:val="20"/>
          <w:color w:val="auto"/>
        </w:rPr>
      </w:pPr>
    </w:p>
    <w:p>
      <w:pPr>
        <w:ind w:left="380" w:right="8620" w:hanging="372"/>
        <w:spacing w:after="0" w:line="375" w:lineRule="auto"/>
        <w:tabs>
          <w:tab w:leader="none" w:pos="365"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9220" w:hanging="372"/>
        <w:spacing w:after="0" w:line="397" w:lineRule="auto"/>
        <w:tabs>
          <w:tab w:leader="none" w:pos="366"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1-800-732-0330. In addition, the SEC maintains a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t>
      </w:r>
      <w:r>
        <w:rPr>
          <w:rFonts w:ascii="Times New Roman" w:cs="Times New Roman" w:eastAsia="Times New Roman" w:hAnsi="Times New Roman"/>
          <w:sz w:val="18"/>
          <w:szCs w:val="18"/>
          <w:i w:val="1"/>
          <w:iCs w:val="1"/>
          <w:color w:val="auto"/>
        </w:rPr>
        <w:t>www.nucana.com</w:t>
      </w:r>
      <w:r>
        <w:rPr>
          <w:rFonts w:ascii="Times New Roman" w:cs="Times New Roman" w:eastAsia="Times New Roman" w:hAnsi="Times New Roman"/>
          <w:sz w:val="18"/>
          <w:szCs w:val="18"/>
          <w:color w:val="auto"/>
        </w:rPr>
        <w:t>. The information contained on our website is not incorporated by reference in this Annual Report.</w:t>
      </w:r>
    </w:p>
    <w:p>
      <w:pPr>
        <w:spacing w:after="0" w:line="64" w:lineRule="exact"/>
        <w:rPr>
          <w:sz w:val="20"/>
          <w:szCs w:val="20"/>
          <w:color w:val="auto"/>
        </w:rPr>
      </w:pPr>
    </w:p>
    <w:p>
      <w:pPr>
        <w:ind w:left="380" w:right="9060" w:hanging="372"/>
        <w:spacing w:after="0" w:line="450" w:lineRule="auto"/>
        <w:tabs>
          <w:tab w:leader="none" w:pos="365"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Market risk arises from our exposure to fluctuation in interest rates and currency exchange rates. These risks are managed by maintaining an appropriate mix of cash deposits in the two main currencies we operate in, placed with a variety of financial institutions for varying periods according to expected liquidity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£24.3 million (2024: £6.7 million). Exposure to interest rate sensitivity is impacted primarily by changes in the underlying bank interest rates. The Company’s surplus cash and cash equivalents are invested in interest-bearing accounts and certificates of deposit from time to time which earn interest at fixed or variable rates based on the terms agreed for each account. The Company has not entered into investments for trading or speculative purposes.</w:t>
      </w:r>
    </w:p>
    <w:p>
      <w:pPr>
        <w:spacing w:after="0" w:line="172" w:lineRule="exact"/>
        <w:rPr>
          <w:sz w:val="20"/>
          <w:szCs w:val="20"/>
          <w:color w:val="auto"/>
        </w:rPr>
      </w:pPr>
    </w:p>
    <w:p>
      <w:pPr>
        <w:ind w:right="660" w:firstLine="509"/>
        <w:spacing w:after="0" w:line="313" w:lineRule="auto"/>
        <w:rPr>
          <w:sz w:val="20"/>
          <w:szCs w:val="20"/>
          <w:color w:val="auto"/>
        </w:rPr>
      </w:pPr>
      <w:r>
        <w:rPr>
          <w:rFonts w:ascii="Times New Roman" w:cs="Times New Roman" w:eastAsia="Times New Roman" w:hAnsi="Times New Roman"/>
          <w:sz w:val="18"/>
          <w:szCs w:val="18"/>
          <w:color w:val="auto"/>
        </w:rPr>
        <w:t>An increase in the bank interest rates by 0.5 percentage points would increase the net annual interest income applicable to the cash and cash equivalents held on variable and short-term fixed rate deposits by £0.1 million (2024: £14,000).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2" w:name="page153"/>
    <w:bookmarkEnd w:id="152"/>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is U.K. pounds sterling, and our transactions are commonly denominated in that currency. However, a portion of expenses are incurred in other currencies, primarily U.S. dollars, and are exposed to the effects of this exchange rate.</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Although the Company is based in the United Kingdom, it sources active pharmaceutical ingredient, raw materials, research and development, manufacturing, consulting and other services worldwide, including from the United States, the European Union and India. Any weakening of the pound sterling against the currencies of such other jurisdictions makes the purchase of such goods and services more expensive for the Company. The Company seeks to minimize this exposure by maintaining currency cash balances at levels appropriate to meet foreseeable short to mid-term expenses in these other currencies. The Company thus holds a significant portion of cash and cash equivalents in U.S. dollars and reports the impact of exchange rates movements on these balances. The Company does not use derivative instruments to manage exchange rate exposure. A 1% increase in the value of the pound sterling relative to the U.S. dollar would decrease the carrying value of net financial assets and liabilities in foreign currencies at December 31, 2025 by £0.2 million (2024: £4,000 increase).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quantitative and qualitative risks, see Note 19 to the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520" w:right="9580" w:hanging="512"/>
        <w:spacing w:after="0" w:line="450" w:lineRule="auto"/>
        <w:tabs>
          <w:tab w:leader="none" w:pos="37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right="9240" w:hanging="512"/>
        <w:spacing w:after="0" w:line="450" w:lineRule="auto"/>
        <w:tabs>
          <w:tab w:leader="none" w:pos="37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360" w:hanging="352"/>
        <w:spacing w:after="0"/>
        <w:tabs>
          <w:tab w:leader="none" w:pos="3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360" w:hanging="352"/>
        <w:spacing w:after="0"/>
        <w:tabs>
          <w:tab w:leader="none" w:pos="3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333-220392 when retrieving such copy.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00" w:type="dxa"/>
            <w:vAlign w:val="bottom"/>
          </w:tcPr>
          <w:p>
            <w:pPr>
              <w:spacing w:after="0"/>
              <w:rPr>
                <w:sz w:val="16"/>
                <w:szCs w:val="16"/>
                <w:color w:val="auto"/>
              </w:rPr>
            </w:pP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191"/>
        </w:trPr>
        <w:tc>
          <w:tcPr>
            <w:tcW w:w="7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Issuance of ADSs (e.g., an issuance of ADS upon a deposit of ordinary shares or upon a change in the</w:t>
            </w:r>
          </w:p>
        </w:tc>
        <w:tc>
          <w:tcPr>
            <w:tcW w:w="100" w:type="dxa"/>
            <w:vAlign w:val="bottom"/>
          </w:tcPr>
          <w:p>
            <w:pPr>
              <w:spacing w:after="0"/>
              <w:rPr>
                <w:sz w:val="16"/>
                <w:szCs w:val="16"/>
                <w:color w:val="auto"/>
              </w:rPr>
            </w:pPr>
          </w:p>
        </w:tc>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$0.05 per ADS issued</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ADS(s)-to-ordinary shares ratio), excluding ADS issuances as a result of distributions of ordinary shares</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3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 deposited property or upon a change</w:t>
            </w:r>
          </w:p>
        </w:tc>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cancelled</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 the ADS(s)-to-ordinary shares ratio)</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3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rights and other</w:t>
            </w:r>
          </w:p>
        </w:tc>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entitlements)</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3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ADSs pursuant to (i) share dividends or other distributions, or (ii) exercise of rights to</w:t>
            </w:r>
          </w:p>
        </w:tc>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additional ADSs</w:t>
            </w: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5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 (e.g., upon a spin-off)</w:t>
            </w:r>
          </w:p>
        </w:tc>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34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ADS services</w:t>
            </w:r>
          </w:p>
        </w:tc>
        <w:tc>
          <w:tcPr>
            <w:tcW w:w="10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 on the applicable</w:t>
            </w:r>
          </w:p>
        </w:tc>
      </w:tr>
      <w:tr>
        <w:trPr>
          <w:trHeight w:val="234"/>
        </w:trPr>
        <w:tc>
          <w:tcPr>
            <w:tcW w:w="7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record date(s) established by the depositary</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property.</w:t>
      </w:r>
    </w:p>
    <w:p>
      <w:pPr>
        <w:spacing w:after="0" w:line="189" w:lineRule="exact"/>
        <w:rPr>
          <w:sz w:val="20"/>
          <w:szCs w:val="20"/>
          <w:color w:val="auto"/>
        </w:rPr>
      </w:pPr>
    </w:p>
    <w:p>
      <w:pPr>
        <w:ind w:right="140" w:firstLine="508"/>
        <w:spacing w:after="0" w:line="253"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In the event of refusal to pay the depositary fees or charges, the depositary may, under the terms of the deposit agreement, refuse the requested service until payment is received or may set off the amount of the depositary fees and charges from any distribution to be made to the ADS holder.</w:t>
      </w:r>
    </w:p>
    <w:p>
      <w:pPr>
        <w:spacing w:after="0" w:line="244"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9" w:right="5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ind w:left="360" w:hanging="352"/>
        <w:spacing w:after="0"/>
        <w:tabs>
          <w:tab w:leader="none" w:pos="3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Exchange Act Rules 13a-15(e) and 15d-15(e)) as of the end of the period covered by this Annual Report. Based on such evaluation, our principal executive officer and principal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officer and principal financial officer, or persons performing similar functions, as appropriate to allow timely decisions regarding required disclosure.</w:t>
      </w:r>
    </w:p>
    <w:p>
      <w:pPr>
        <w:spacing w:after="0" w:line="293" w:lineRule="exact"/>
        <w:rPr>
          <w:sz w:val="20"/>
          <w:szCs w:val="20"/>
          <w:color w:val="auto"/>
        </w:rPr>
      </w:pPr>
    </w:p>
    <w:p>
      <w:pPr>
        <w:ind w:left="360" w:hanging="352"/>
        <w:spacing w:after="0"/>
        <w:tabs>
          <w:tab w:leader="none" w:pos="3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to provide reasonable assurance regarding the reliability of financial reporting and the preparation of financial statements for external purposes in accordance with IFRS as issued by the IASB. We have a program for the review of our internal control over financial reporting to ensure compliance with the requirements of the Exchange Act and Section 404 of the Sarbanes-Oxley Act of 2002. 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assessed the effectiveness of our internal control over financial reporting as of December 31, 2025. In conducting its assessment of internal control over financial reporting, management based its evaluation on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or COSO, as at December 31, 2025. Based on its evaluation, our management has concluded that our internal control over financial reporting was effective as at December 31, 2025.</w:t>
      </w:r>
    </w:p>
    <w:p>
      <w:pPr>
        <w:spacing w:after="0" w:line="179" w:lineRule="exact"/>
        <w:rPr>
          <w:sz w:val="20"/>
          <w:szCs w:val="20"/>
          <w:color w:val="auto"/>
        </w:rPr>
      </w:pPr>
    </w:p>
    <w:p>
      <w:pPr>
        <w:ind w:left="360" w:hanging="352"/>
        <w:spacing w:after="0"/>
        <w:tabs>
          <w:tab w:leader="none" w:pos="3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report does not include an attestation report of our registered public accounting firm as we are currently a non-accelerated filer.</w:t>
      </w:r>
    </w:p>
    <w:p>
      <w:pPr>
        <w:spacing w:after="0" w:line="329" w:lineRule="exact"/>
        <w:rPr>
          <w:sz w:val="20"/>
          <w:szCs w:val="20"/>
          <w:color w:val="auto"/>
        </w:rPr>
      </w:pPr>
    </w:p>
    <w:p>
      <w:pPr>
        <w:ind w:left="360" w:hanging="352"/>
        <w:spacing w:after="0"/>
        <w:tabs>
          <w:tab w:leader="none" w:pos="3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is comprised of two of our non-executive directors, Martin Mellish and Cyrille Leperlier, and each of these members is an “independent director” as such term is defined in Rule 10A-3 under the Exchange Act and under the listing standards of the Nasdaq Stock Market. Mr. Mellish serves as chair of this committee, a role he assumed in March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56" w:name="page157"/>
    <w:bookmarkEnd w:id="156"/>
    <w:p>
      <w:pPr>
        <w:ind w:right="840"/>
        <w:spacing w:after="0" w:line="282" w:lineRule="auto"/>
        <w:rPr>
          <w:sz w:val="20"/>
          <w:szCs w:val="20"/>
          <w:color w:val="auto"/>
        </w:rPr>
      </w:pPr>
      <w:r>
        <w:rPr>
          <w:rFonts w:ascii="Times New Roman" w:cs="Times New Roman" w:eastAsia="Times New Roman" w:hAnsi="Times New Roman"/>
          <w:sz w:val="18"/>
          <w:szCs w:val="18"/>
          <w:color w:val="auto"/>
        </w:rPr>
        <w:t>2025. Our board of directors has determined that Mr. Mellish is an “audit committee financial expert” as contemplated by the rules of the SEC implementing Section 407 of the Sarbanes Oxley Act of 2002.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Code of Business Conduct and Ethics is applicable to all of our employees, officers and directors and is available on our website at http://www.nucana.com. We expect that any amendment to this code, or any waivers of its requirements, will be disclosed on our website. Information contained on, or that can be accessed through, our website is not incorporated by reference into this Annual Report, and you should not consider information on our website to be part of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IFRS and are audited by Ernst &amp; Young LLP, our independent registered public accounting firm registered with the Public Company Accounting Oversight Board in the United States.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Ernst &amp; Young LLP has served as our independent registered public accountant for each of the years ended December 31, 2023, December 31, 2024, and December 31, 2025 for which audited statements appear in this Annual Report.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shows the aggregate fees billed to us, including some of our subsidiaries, for services rendered by Ernst &amp; Young LLP.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2"/>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96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(1)</w:t>
            </w: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r>
      <w:tr>
        <w:trPr>
          <w:trHeight w:val="25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43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primarily for services related to the Company’s SEC filings.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reviews and pre-approves the scope and the cost of audit services related to us and permissible non-audit services performed by the independent auditors,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 All of the services related to our company provided by Ernst &amp; Young LLP during the last two fiscal years have been approved by the Audit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the Registrant’s Certifying Accountant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a “foreign private issuer,” as defined by the SEC, although we are permitted to follow certain corporate governance practices of England and Wales, instead of those otherwise required under The Nasdaq Stock Market, or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72" w:lineRule="exact"/>
        <w:rPr>
          <w:sz w:val="20"/>
          <w:szCs w:val="20"/>
          <w:color w:val="auto"/>
        </w:rPr>
      </w:pPr>
    </w:p>
    <w:p>
      <w:pPr>
        <w:ind w:left="1020" w:right="180" w:hanging="503"/>
        <w:spacing w:after="0" w:line="282" w:lineRule="auto"/>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or providing current reports on Form 8-K disclosing significant events within four days of their occurrence.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157" w:name="page158"/>
    <w:bookmarkEnd w:id="157"/>
    <w:p>
      <w:pPr>
        <w:ind w:left="1020" w:right="280" w:hanging="503"/>
        <w:spacing w:after="0" w:line="282"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(b) and (c) of the Exchange Act regarding sales of ordinary shares by insiders, which will provide less data in this regard than is required for U.S. companies that are subject to the Exchange Act.</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Rule 5620(c) regarding quorum requirements applicable to meetings of shareholders. Such quorum requirements are not required under U.K. law given our Articles of Association provide quorum requirements that are generally applicable to meetings of shareholders.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53"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Rule 5635, which generally requires an issuer to seek shareholder approval in connection with certain issuances of securities, including (a) issuances in connection with the acquisition of the stock or assets of another company if upon issuance the issued shares will equal 20% or more of the number of shares or voting power outstanding prior to the issuance, or if certain specified persons have a 5% or greater interest in the assets or company to be acquired (Nasdaq Listing Rule 5635(a)); (b) issuances or potential issuances that will result in a change of control of the Company (Nasdaq Listing Rule 5635(b)); (c) issuances in connection with equity compensation arrangements (Nasdaq Listing Rule 5635(c)); and (d) issuances in transactions, other than public offerings, involving the sale, issuance or potential issuance by the Company of shares (or securities convertible into or exercisable for shares) equal to 20% or more of the outstanding share capital of the Company or 20% or more of the voting power outstanding before the issuance for less than the greater of book or market value of the shares (Nasdaq Listing Rule 5635(d)). We intend to follow the requirements of the Companies Act 2006 with respect to any requirement to obtain shareholder approval to authorize our directors to allot shares and to disapply statutory pre-emption rights prior to any issuances of equity securities.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as set forth in the prior sentence. Accordingly, our shareholders will not have the same protections afforded to shareholders of companies that are subject to all of the corporate governance requirements of Nasdaq. We may utilize these exemptions for as long as we continue to qualify as a foreign private issuer. 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30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directors and senior management are subject to the reporting requirements of Section 16(a) of the Exchange Act and Section 13 of the Exchange Act (as applicable), but they are not subject to the short-swing profit recovery provisions of Section 16(b) or the short-sale restrictions of Section 16(c)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00" w:lineRule="exact"/>
        <w:rPr>
          <w:sz w:val="20"/>
          <w:szCs w:val="20"/>
          <w:color w:val="auto"/>
        </w:rPr>
      </w:pPr>
    </w:p>
    <w:p>
      <w:pPr>
        <w:spacing w:after="0" w:line="353"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In December 2025, our board of directors adopted our Insider Trading Policy, which governs the purchase, sale, and other dispositions of our securities by directors, officers, employees, and consultants. Prior to adopting our current Insider Trading Policy, we initially adopted our Insider Trading Policy in November 2023 and updated our Insider Trading Policy in March 2025. Our Insider Trading Policy is designed to promote compliance with insider trading laws and rules and regulations, and any listing standards applicable to us. Each of our directors, officers, employees, and consultants is expected to review and to comply with the terms of the Insider Trading Policy. A copy of our Insider Trading Policy is filed as an exhibit to this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and practices are based on recognized frameworks established by the United Kingdom National Cyber Security Centre, or NCSC,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 Effect of Risk</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those perpetrated by hackers and the unintentional damage or disruption to hardware and software systems, loss of data, and misappropriation of confidential information. To identify and assess material risks from cybersecurity threats, we maintain a comprehensive cybersecurity program and have implemented a Cyber Security Management Team, or CSMT, to ensure our systems are effective and prepared for information security risks, including regular oversight of our programs for security monitoring for internal and external threats to ensure the confidentiality and integrity of our information assets. The CSMT consists of our Director of Operations, Interim Chief Financial Officer, and Chief Operating Officer.</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consider risks from cybersecurity threats alongside other company risks as part of our overall risk assessment process. We employ a range of tools and the services of third-party service providers, including vulnerability assessments, to inform our risk identification and assessment. As discussed in more detail under “Cybersecurity Governance; Management” below, our Audit Committee of our board of directors provides oversight of our CSMT, which leads and conducts our cybersecurity risk management and strategy processes.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also identify our cybersecurity threat risks by comparing our processes to standards set by the NCSC, as well as by engaging experts to attempt to infiltrate our information systems and conduct risk management assessments. 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72" w:lineRule="exact"/>
        <w:rPr>
          <w:sz w:val="20"/>
          <w:szCs w:val="20"/>
          <w:color w:val="auto"/>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cybersecurity and incident reporting laws and implement changes to our processes that are designed to comply with such laws;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threat analysis and apply it to our network and information systems, anticipating and mitigating attack methods through documented, intelligence-driven risk management to ensure compliance and resilience across our essential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software operating system updates, anti-virus software, multifactor authentication, firewalls, intrusion prevention and detection systems, anti-malware functionality and access controls, which are evaluated and improved through vulnerability assessments and cybersecurity threat intelligence;</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security status of network and information systems and proactively seek to detect, within networks and information systems, adverse activity affecting, or with the potential to affect, the operation of essential functions;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ind w:left="760" w:hanging="378"/>
        <w:spacing w:after="0" w:line="282" w:lineRule="auto"/>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 incident notification and response process to help us identify, protect, detect, respond and recover when there is an actual or potential cybersecurity incident;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 software patch and vulnerability management program, including software updates, computer back-up processes, information technology support and regular third-party vulnerability scans;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software suppliers follow secure development frameworks, maintain full transparency and monitoring of all components, safeguard development environments, apply threat-informed practices such as threat modeling, and guarantee the authenticity and integrity of all software and updates.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incident response plan coordinates the activities we undertake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and other third parties, including regular third-party review of our cybersecurity program to help identify areas for continued focus, improvement and compliance.</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processes to address cybersecurity threat risks associated with our use of third-party service providers, including our suppliers and manufacturers who have access to patient and employee data or our systems, include requiring those third parties that could introduce significant cybersecurity risk to us to agree by contract to manage their cybersecurity risks in specified ways, including with respect to processing and transferring personal and patient data. We conduct due diligence to identify key third-party service providers’ cybersecurity protocols.</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headings “Our proprietary information, or that of our suppliers and any future collaborators, may be lost or we may suffer security breaches,” “We face regulation and potential liability related to the privacy of personal data, including health information we obtain from clinical trials sponsored by us or our collaborators,” and “Our business and operations could suffer in the event of information technology and other internal infrastructure system failures,” which disclosures are incorporated by reference herein.</w:t>
      </w:r>
    </w:p>
    <w:p>
      <w:pPr>
        <w:spacing w:after="0" w:line="79" w:lineRule="exact"/>
        <w:rPr>
          <w:sz w:val="20"/>
          <w:szCs w:val="20"/>
          <w:color w:val="auto"/>
        </w:rPr>
      </w:pPr>
    </w:p>
    <w:p>
      <w:pPr>
        <w:jc w:val="both"/>
        <w:ind w:firstLine="374"/>
        <w:spacing w:after="0" w:line="297"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and we have not incurred any expenses in relation to cybersecurity incidents. This includes penalties and settlements, of which there were none.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Audit Committee of our board of directors and our executive management oversee our CSMT, which oversees our risk management activities designed and implemented by our management, and considers specific risks, including, for example, risks associated with our strategic plan, business operations, and capital structure. Our Audit Committee of our board of directors and executive management executes its oversight responsibility for risk management both directly and through delegating oversight of certain of these risks to our CSMT, and our board of directors has authorized our Audit Committee and CSMT to oversee risks from cybersecurity threats.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At least quarterly, our Audit Committee receives an update from our CSMT of our cybersecurity threat risk management and strategy processes covering topics such as data security posture, any results from third-party assessments, progress towards pre-determined risk-mitigation-related goals, our incident response plan, and material cybersecurity threat risks or incidents and developments, as well as the steps management has taken to respond to such risks. In such sessions, our Audit Committee generally receives materials that include current and emerging material cybersecurity threat risks, describing our ability to mitigate those risks, as well as recent developments, evolving standards, technological developments and information security considerations arising with respect to our peers and third parties. Our Audit Committee and executive management also receive prompt and timely information regarding any cybersecurity incident that meets established reporting thresholds, as well as ongoing updates regarding any such incident until it has been addressed.</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Members of our Audit Committee and board of directors are also encouraged to regularly engage in conversations with executive management on cybersecurity-related news events and discuss any updates to our cybersecurity risk management and strategy programs. Material cybersecurity threat risks are also considered during separate board of directors’ meeting discussions of important matters like enterprise risk management, operational budgeting, business continuity planning, mergers and acquisitions, brand management, and other relevant matters.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CSMT, which consists of our Director of Operations, Interim Chief Financial Officer, and Chief Operating Officer. Such individuals have collectively over 16 years of prior work experience in various roles involving managing information security, developing cybersecurity strategies, implementing effective information and cybersecurity programs. These team members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0" w:name="page161"/>
    <w:bookmarkEnd w:id="160"/>
    <w:p>
      <w:pPr>
        <w:jc w:val="both"/>
        <w:spacing w:after="0" w:line="261" w:lineRule="auto"/>
        <w:rPr>
          <w:sz w:val="20"/>
          <w:szCs w:val="20"/>
          <w:color w:val="auto"/>
        </w:rPr>
      </w:pPr>
      <w:r>
        <w:rPr>
          <w:rFonts w:ascii="Times New Roman" w:cs="Times New Roman" w:eastAsia="Times New Roman" w:hAnsi="Times New Roman"/>
          <w:sz w:val="18"/>
          <w:szCs w:val="18"/>
          <w:color w:val="auto"/>
        </w:rPr>
        <w:t>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of our board of directors and executive management about cybersecurity threat risks, among other cybersecurity related matters, on a quarterly basis.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1" w:name="page162"/>
    <w:bookmarkEnd w:id="161"/>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financial statements are filed as part of this Annual Report beginning on page F-1.</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5200" w:type="dxa"/>
            <w:vAlign w:val="bottom"/>
            <w:gridSpan w:val="37"/>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3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w w:val="97"/>
              </w:rPr>
              <w:t>Schedule/</w:t>
            </w:r>
          </w:p>
        </w:tc>
        <w:tc>
          <w:tcPr>
            <w:tcW w:w="0" w:type="dxa"/>
            <w:vAlign w:val="bottom"/>
          </w:tcPr>
          <w:p>
            <w:pPr>
              <w:spacing w:after="0"/>
              <w:rPr>
                <w:sz w:val="1"/>
                <w:szCs w:val="1"/>
                <w:color w:val="auto"/>
              </w:rPr>
            </w:pPr>
          </w:p>
        </w:tc>
      </w:tr>
      <w:tr>
        <w:trPr>
          <w:trHeight w:val="190"/>
        </w:trPr>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gridSpan w:val="30"/>
            <w:vMerge w:val="continue"/>
          </w:tcPr>
          <w:p>
            <w:pPr>
              <w:spacing w:after="0"/>
              <w:rPr>
                <w:sz w:val="16"/>
                <w:szCs w:val="16"/>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0" w:type="dxa"/>
            <w:vAlign w:val="bottom"/>
          </w:tcPr>
          <w:p>
            <w:pPr>
              <w:spacing w:after="0"/>
              <w:rPr>
                <w:sz w:val="1"/>
                <w:szCs w:val="1"/>
                <w:color w:val="auto"/>
              </w:rPr>
            </w:pPr>
          </w:p>
        </w:tc>
      </w:tr>
      <w:tr>
        <w:trPr>
          <w:trHeight w:val="280"/>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4960" w:type="dxa"/>
            <w:vAlign w:val="bottom"/>
            <w:gridSpan w:val="36"/>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Articles of Association of the registrant</w:t>
              </w:r>
            </w:hyperlink>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45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Deposit Agreement by and among the</w:t>
              </w:r>
            </w:hyperlink>
          </w:p>
        </w:tc>
        <w:tc>
          <w:tcPr>
            <w:tcW w:w="440" w:type="dxa"/>
            <w:vAlign w:val="bottom"/>
            <w:gridSpan w:val="8"/>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F-3/A</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registrant and Citibank, N.A. and all Holders and Beneficial Owners</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of ADSs issued hereunder, dated as of May 7, 2025</w:t>
              </w:r>
            </w:hyperlink>
          </w:p>
        </w:tc>
        <w:tc>
          <w:tcPr>
            <w:tcW w:w="20" w:type="dxa"/>
            <w:vAlign w:val="bottom"/>
            <w:tcBorders>
              <w:bottom w:val="single" w:sz="8" w:color="0000EE"/>
            </w:tcBorders>
          </w:tcPr>
          <w:p>
            <w:pPr>
              <w:spacing w:after="0"/>
              <w:rPr>
                <w:sz w:val="17"/>
                <w:szCs w:val="17"/>
                <w:color w:val="auto"/>
              </w:rPr>
            </w:pPr>
          </w:p>
        </w:tc>
        <w:tc>
          <w:tcPr>
            <w:tcW w:w="1220" w:type="dxa"/>
            <w:vAlign w:val="bottom"/>
            <w:gridSpan w:val="20"/>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496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Amendment No. 1 to Amended and Restated Deposit Agreement, by</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and among the registrant, Citibank, N.A.and all Holders and</w:t>
            </w:r>
          </w:p>
        </w:tc>
        <w:tc>
          <w:tcPr>
            <w:tcW w:w="580" w:type="dxa"/>
            <w:vAlign w:val="bottom"/>
            <w:gridSpan w:val="12"/>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 of American Depositary Shares issued</w:t>
            </w:r>
          </w:p>
        </w:tc>
        <w:tc>
          <w:tcPr>
            <w:tcW w:w="76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thereunder, dated as of August 11, 2025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4"/>
                <w:szCs w:val="24"/>
                <w:color w:val="auto"/>
              </w:rPr>
            </w:pPr>
          </w:p>
        </w:tc>
        <w:tc>
          <w:tcPr>
            <w:tcW w:w="49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Form of American Depositary Receipt (included in Exhibit 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49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Registration Rights Agreement by and among the registrant and the</w:t>
              </w:r>
            </w:hyperlink>
          </w:p>
        </w:tc>
        <w:tc>
          <w:tcPr>
            <w:tcW w:w="4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gridSpan w:val="36"/>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investors named therein, dated as of September 20, 2017</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4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2009 Share Option Scheme (as amended) and form of option</w:t>
              </w:r>
            </w:hyperlink>
          </w:p>
        </w:tc>
        <w:tc>
          <w:tcPr>
            <w:tcW w:w="520" w:type="dxa"/>
            <w:vAlign w:val="bottom"/>
            <w:gridSpan w:val="11"/>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agreements thereunder</w:t>
              </w:r>
            </w:hyperlink>
          </w:p>
        </w:tc>
        <w:tc>
          <w:tcPr>
            <w:tcW w:w="20" w:type="dxa"/>
            <w:vAlign w:val="bottom"/>
            <w:tcBorders>
              <w:bottom w:val="single" w:sz="8" w:color="0000EE"/>
            </w:tcBorders>
          </w:tcPr>
          <w:p>
            <w:pPr>
              <w:spacing w:after="0"/>
              <w:rPr>
                <w:sz w:val="17"/>
                <w:szCs w:val="17"/>
                <w:color w:val="auto"/>
              </w:rPr>
            </w:pPr>
          </w:p>
        </w:tc>
        <w:tc>
          <w:tcPr>
            <w:tcW w:w="3300" w:type="dxa"/>
            <w:vAlign w:val="bottom"/>
            <w:gridSpan w:val="30"/>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4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2012 Share Option Scheme (as amended) and form of option</w:t>
              </w:r>
            </w:hyperlink>
          </w:p>
        </w:tc>
        <w:tc>
          <w:tcPr>
            <w:tcW w:w="520" w:type="dxa"/>
            <w:vAlign w:val="bottom"/>
            <w:gridSpan w:val="11"/>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agreements thereunder</w:t>
              </w:r>
            </w:hyperlink>
          </w:p>
        </w:tc>
        <w:tc>
          <w:tcPr>
            <w:tcW w:w="20" w:type="dxa"/>
            <w:vAlign w:val="bottom"/>
            <w:tcBorders>
              <w:bottom w:val="single" w:sz="8" w:color="0000EE"/>
            </w:tcBorders>
          </w:tcPr>
          <w:p>
            <w:pPr>
              <w:spacing w:after="0"/>
              <w:rPr>
                <w:sz w:val="17"/>
                <w:szCs w:val="17"/>
                <w:color w:val="auto"/>
              </w:rPr>
            </w:pPr>
          </w:p>
        </w:tc>
        <w:tc>
          <w:tcPr>
            <w:tcW w:w="3300" w:type="dxa"/>
            <w:vAlign w:val="bottom"/>
            <w:gridSpan w:val="30"/>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44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2016 Share Option Scheme (as amended) and form of option</w:t>
            </w:r>
          </w:p>
        </w:tc>
        <w:tc>
          <w:tcPr>
            <w:tcW w:w="520" w:type="dxa"/>
            <w:vAlign w:val="bottom"/>
            <w:gridSpan w:val="11"/>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agreements thereunder</w:t>
            </w:r>
          </w:p>
        </w:tc>
        <w:tc>
          <w:tcPr>
            <w:tcW w:w="20" w:type="dxa"/>
            <w:vAlign w:val="bottom"/>
            <w:tcBorders>
              <w:bottom w:val="single" w:sz="8" w:color="0000EE"/>
            </w:tcBorders>
          </w:tcPr>
          <w:p>
            <w:pPr>
              <w:spacing w:after="0"/>
              <w:rPr>
                <w:sz w:val="17"/>
                <w:szCs w:val="17"/>
                <w:color w:val="auto"/>
              </w:rPr>
            </w:pPr>
          </w:p>
        </w:tc>
        <w:tc>
          <w:tcPr>
            <w:tcW w:w="3300" w:type="dxa"/>
            <w:vAlign w:val="bottom"/>
            <w:gridSpan w:val="30"/>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47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2020 Long-Term Incentive Plan, as amended and form of option</w:t>
            </w:r>
          </w:p>
        </w:tc>
        <w:tc>
          <w:tcPr>
            <w:tcW w:w="260" w:type="dxa"/>
            <w:vAlign w:val="bottom"/>
            <w:gridSpan w:val="6"/>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agreement thereunder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24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2020 Company Share Option Plan</w:t>
              </w:r>
            </w:hyperlink>
          </w:p>
        </w:tc>
        <w:tc>
          <w:tcPr>
            <w:tcW w:w="2480" w:type="dxa"/>
            <w:vAlign w:val="bottom"/>
            <w:gridSpan w:val="27"/>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S-8</w:t>
            </w: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47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Variation Agreement, dated March 15, 2012, by and between the</w:t>
              </w:r>
            </w:hyperlink>
          </w:p>
        </w:tc>
        <w:tc>
          <w:tcPr>
            <w:tcW w:w="240" w:type="dxa"/>
            <w:vAlign w:val="bottom"/>
            <w:gridSpan w:val="5"/>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registrant and Cardiff ProTides Limited and the related Side Letter,</w:t>
              </w:r>
            </w:hyperlink>
          </w:p>
        </w:tc>
        <w:tc>
          <w:tcPr>
            <w:tcW w:w="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gridSpan w:val="3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dated May 15, 2012</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48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Assignment, License and Collaboration Agreement, dated October</w:t>
              </w:r>
            </w:hyperlink>
          </w:p>
        </w:tc>
        <w:tc>
          <w:tcPr>
            <w:tcW w:w="120" w:type="dxa"/>
            <w:vAlign w:val="bottom"/>
            <w:gridSpan w:val="3"/>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13, 2009, by and between the registrant and Cardiff ProTides</w:t>
              </w:r>
            </w:hyperlink>
          </w:p>
        </w:tc>
        <w:tc>
          <w:tcPr>
            <w:tcW w:w="50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Limited</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34"/>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45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Patent Assignment Agreement, dated March 15, 2012, by and</w:t>
              </w:r>
            </w:hyperlink>
          </w:p>
        </w:tc>
        <w:tc>
          <w:tcPr>
            <w:tcW w:w="460" w:type="dxa"/>
            <w:vAlign w:val="bottom"/>
            <w:gridSpan w:val="9"/>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between the registrant and Cardiff ProTides Limited</w:t>
              </w:r>
            </w:hyperlink>
          </w:p>
        </w:tc>
        <w:tc>
          <w:tcPr>
            <w:tcW w:w="20" w:type="dxa"/>
            <w:vAlign w:val="bottom"/>
            <w:tcBorders>
              <w:bottom w:val="single" w:sz="8" w:color="0000EE"/>
            </w:tcBorders>
          </w:tcPr>
          <w:p>
            <w:pPr>
              <w:spacing w:after="0"/>
              <w:rPr>
                <w:sz w:val="17"/>
                <w:szCs w:val="17"/>
                <w:color w:val="auto"/>
              </w:rPr>
            </w:pPr>
          </w:p>
        </w:tc>
        <w:tc>
          <w:tcPr>
            <w:tcW w:w="1160" w:type="dxa"/>
            <w:vAlign w:val="bottom"/>
            <w:gridSpan w:val="18"/>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48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Research, Collaboration and License Agreement, dated December</w:t>
              </w:r>
            </w:hyperlink>
          </w:p>
        </w:tc>
        <w:tc>
          <w:tcPr>
            <w:tcW w:w="160" w:type="dxa"/>
            <w:vAlign w:val="bottom"/>
            <w:gridSpan w:val="4"/>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21, 2017, by and between the registrant, Cardiff University and</w:t>
              </w:r>
            </w:hyperlink>
          </w:p>
        </w:tc>
        <w:tc>
          <w:tcPr>
            <w:tcW w:w="36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University College Cardiff Consultants Ltd, as amended by</w:t>
              </w:r>
            </w:hyperlink>
          </w:p>
        </w:tc>
        <w:tc>
          <w:tcPr>
            <w:tcW w:w="640" w:type="dxa"/>
            <w:vAlign w:val="bottom"/>
            <w:gridSpan w:val="13"/>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Amendment No. 1, dated February 1, 2018</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23"/>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4"/>
                <w:szCs w:val="24"/>
                <w:color w:val="auto"/>
              </w:rPr>
            </w:pPr>
          </w:p>
        </w:tc>
        <w:tc>
          <w:tcPr>
            <w:tcW w:w="4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Amendment No. 4, dated February 20, 2020, to Research,</w:t>
              </w:r>
            </w:hyperlink>
          </w:p>
        </w:tc>
        <w:tc>
          <w:tcPr>
            <w:tcW w:w="740" w:type="dxa"/>
            <w:vAlign w:val="bottom"/>
            <w:gridSpan w:val="15"/>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Collaboration and License Agreement dated December 21, 2017, by</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and between the registrant, Cardiff University and University</w:t>
              </w:r>
            </w:hyperlink>
          </w:p>
        </w:tc>
        <w:tc>
          <w:tcPr>
            <w:tcW w:w="50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College Cardiff Consultants Ltd</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28"/>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24"/>
                <w:szCs w:val="24"/>
                <w:color w:val="auto"/>
              </w:rPr>
            </w:pPr>
          </w:p>
        </w:tc>
        <w:tc>
          <w:tcPr>
            <w:tcW w:w="43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Amendment No. 5, dated December 11, 2020, to Research,</w:t>
              </w:r>
            </w:hyperlink>
          </w:p>
        </w:tc>
        <w:tc>
          <w:tcPr>
            <w:tcW w:w="660" w:type="dxa"/>
            <w:vAlign w:val="bottom"/>
            <w:gridSpan w:val="14"/>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0" w:type="dxa"/>
            <w:vAlign w:val="bottom"/>
          </w:tcPr>
          <w:p>
            <w:pPr>
              <w:spacing w:after="0"/>
              <w:rPr>
                <w:sz w:val="1"/>
                <w:szCs w:val="1"/>
                <w:color w:val="auto"/>
              </w:rPr>
            </w:pPr>
          </w:p>
        </w:tc>
      </w:tr>
      <w:tr>
        <w:trPr>
          <w:trHeight w:val="128"/>
        </w:trPr>
        <w:tc>
          <w:tcPr>
            <w:tcW w:w="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20" w:type="dxa"/>
            <w:vAlign w:val="bottom"/>
            <w:gridSpan w:val="14"/>
            <w:vMerge w:val="restart"/>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Collaboration and License Agreement dated</w:t>
              </w:r>
            </w:hyperlink>
          </w:p>
        </w:tc>
        <w:tc>
          <w:tcPr>
            <w:tcW w:w="1740" w:type="dxa"/>
            <w:vAlign w:val="bottom"/>
            <w:gridSpan w:val="22"/>
            <w:vMerge w:val="restart"/>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20" w:type="dxa"/>
            <w:vAlign w:val="bottom"/>
            <w:tcBorders>
              <w:bottom w:val="single" w:sz="8" w:color="0000EE"/>
            </w:tcBorders>
            <w:gridSpan w:val="14"/>
            <w:vMerge w:val="continue"/>
          </w:tcPr>
          <w:p>
            <w:pPr>
              <w:spacing w:after="0"/>
              <w:rPr>
                <w:sz w:val="5"/>
                <w:szCs w:val="5"/>
                <w:color w:val="auto"/>
              </w:rPr>
            </w:pPr>
          </w:p>
        </w:tc>
        <w:tc>
          <w:tcPr>
            <w:tcW w:w="1740" w:type="dxa"/>
            <w:vAlign w:val="bottom"/>
            <w:gridSpan w:val="22"/>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5080" w:type="dxa"/>
            <w:vAlign w:val="bottom"/>
            <w:gridSpan w:val="34"/>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File</w:t>
            </w: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File</w:t>
            </w:r>
          </w:p>
        </w:tc>
        <w:tc>
          <w:tcPr>
            <w:tcW w:w="0" w:type="dxa"/>
            <w:vAlign w:val="bottom"/>
          </w:tcPr>
          <w:p>
            <w:pPr>
              <w:spacing w:after="0"/>
              <w:rPr>
                <w:sz w:val="1"/>
                <w:szCs w:val="1"/>
                <w:color w:val="auto"/>
              </w:rPr>
            </w:pPr>
          </w:p>
        </w:tc>
      </w:tr>
      <w:tr>
        <w:trPr>
          <w:trHeight w:val="190"/>
        </w:trPr>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21"/>
        </w:trPr>
        <w:tc>
          <w:tcPr>
            <w:tcW w:w="11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98"/>
              </w:rPr>
              <w:t>333-286716</w:t>
            </w: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04/25/2025</w:t>
            </w:r>
          </w:p>
        </w:tc>
        <w:tc>
          <w:tcPr>
            <w:tcW w:w="0" w:type="dxa"/>
            <w:vAlign w:val="bottom"/>
          </w:tcPr>
          <w:p>
            <w:pPr>
              <w:spacing w:after="0"/>
              <w:rPr>
                <w:sz w:val="1"/>
                <w:szCs w:val="1"/>
                <w:color w:val="auto"/>
              </w:rPr>
            </w:pPr>
          </w:p>
        </w:tc>
      </w:tr>
      <w:tr>
        <w:trPr>
          <w:trHeight w:val="338"/>
        </w:trPr>
        <w:tc>
          <w:tcPr>
            <w:tcW w:w="11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98"/>
              </w:rPr>
              <w:t>333-281576</w:t>
            </w: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06/18/2025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001-38215</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03/22/2018</w:t>
      </w:r>
    </w:p>
    <w:p>
      <w:pPr>
        <w:spacing w:after="0" w:line="347"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333-220321</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09/18/2017</w:t>
      </w:r>
    </w:p>
    <w:p>
      <w:pPr>
        <w:spacing w:after="0" w:line="347"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333-220321</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09/18/2017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333-227624</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08/19/2020</w:t>
      </w:r>
    </w:p>
    <w:p>
      <w:pPr>
        <w:spacing w:after="0" w:line="131"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333-220321</w:t>
      </w:r>
      <w:r>
        <w:rPr>
          <w:sz w:val="20"/>
          <w:szCs w:val="20"/>
          <w:color w:val="auto"/>
        </w:rPr>
        <w:tab/>
      </w: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09/18/2017</w:t>
      </w:r>
    </w:p>
    <w:p>
      <w:pPr>
        <w:spacing w:after="0" w:line="200" w:lineRule="exact"/>
        <w:rPr>
          <w:sz w:val="20"/>
          <w:szCs w:val="20"/>
          <w:color w:val="auto"/>
        </w:rPr>
      </w:pPr>
    </w:p>
    <w:p>
      <w:pPr>
        <w:spacing w:after="0" w:line="363"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333-220321</w:t>
      </w:r>
      <w:r>
        <w:rPr>
          <w:sz w:val="20"/>
          <w:szCs w:val="20"/>
          <w:color w:val="auto"/>
        </w:rPr>
        <w:tab/>
      </w: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09/18/2017</w:t>
      </w:r>
    </w:p>
    <w:p>
      <w:pPr>
        <w:spacing w:after="0" w:line="200" w:lineRule="exact"/>
        <w:rPr>
          <w:sz w:val="20"/>
          <w:szCs w:val="20"/>
          <w:color w:val="auto"/>
        </w:rPr>
      </w:pPr>
    </w:p>
    <w:p>
      <w:pPr>
        <w:spacing w:after="0" w:line="363"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333-220321</w:t>
      </w:r>
      <w:r>
        <w:rPr>
          <w:sz w:val="20"/>
          <w:szCs w:val="20"/>
          <w:color w:val="auto"/>
        </w:rPr>
        <w:tab/>
      </w: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09/18/2017</w:t>
      </w:r>
    </w:p>
    <w:p>
      <w:pPr>
        <w:spacing w:after="0" w:line="347"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001-38215</w:t>
      </w:r>
      <w:r>
        <w:rPr>
          <w:sz w:val="20"/>
          <w:szCs w:val="20"/>
          <w:color w:val="auto"/>
        </w:rPr>
        <w:tab/>
      </w: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03/22/2018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001-38215</w:t>
      </w:r>
      <w:r>
        <w:rPr>
          <w:sz w:val="20"/>
          <w:szCs w:val="20"/>
          <w:color w:val="auto"/>
        </w:rPr>
        <w:tab/>
      </w: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03/10/2020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420" w:val="left"/>
          <w:tab w:leader="none" w:pos="2380" w:val="left"/>
        </w:tabs>
        <w:rPr>
          <w:sz w:val="20"/>
          <w:szCs w:val="20"/>
          <w:color w:val="auto"/>
        </w:rPr>
      </w:pPr>
      <w:r>
        <w:rPr>
          <w:rFonts w:ascii="Times New Roman" w:cs="Times New Roman" w:eastAsia="Times New Roman" w:hAnsi="Times New Roman"/>
          <w:sz w:val="18"/>
          <w:szCs w:val="18"/>
          <w:color w:val="auto"/>
        </w:rPr>
        <w:t>001-38215</w:t>
      </w:r>
      <w:r>
        <w:rPr>
          <w:sz w:val="20"/>
          <w:szCs w:val="20"/>
          <w:color w:val="auto"/>
        </w:rPr>
        <w:tab/>
      </w: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03/04/2021</w:t>
      </w:r>
    </w:p>
    <w:p>
      <w:pPr>
        <w:sectPr>
          <w:pgSz w:w="11900" w:h="16838" w:orient="portrait"/>
          <w:cols w:equalWidth="0" w:num="2">
            <w:col w:w="7000" w:space="540"/>
            <w:col w:w="3220"/>
          </w:cols>
          <w:pgMar w:left="320" w:top="1238" w:right="819" w:bottom="1440" w:gutter="0" w:footer="0" w:header="0"/>
        </w:sectPr>
      </w:pPr>
    </w:p>
    <w:bookmarkStart w:id="163" w:name="page164"/>
    <w:bookmarkEnd w:id="163"/>
    <w:p>
      <w:pPr>
        <w:ind w:left="920"/>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December 21, 2017, by and between the registrant, Cardiff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715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2715895" cy="8255"/>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University and University College Cardiff Consultants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26847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2684780" cy="8890"/>
                    </a:xfrm>
                    <a:prstGeom prst="rect">
                      <a:avLst/>
                    </a:prstGeom>
                    <a:noFill/>
                  </pic:spPr>
                </pic:pic>
              </a:graphicData>
            </a:graphic>
          </wp:anchor>
        </w:drawing>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4.13</w:t>
            </w:r>
          </w:p>
        </w:tc>
        <w:tc>
          <w:tcPr>
            <w:tcW w:w="49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Lease between the registrant and Drum Income Plus Limited, dated</w:t>
              </w:r>
            </w:hyperlink>
          </w:p>
        </w:tc>
        <w:tc>
          <w:tcPr>
            <w:tcW w:w="6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001-38215</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September 21, 2017</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21"/>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4.14#</w:t>
            </w:r>
          </w:p>
        </w:tc>
        <w:tc>
          <w:tcPr>
            <w:tcW w:w="38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Deed of Indemnity for directors and officers</w:t>
              </w:r>
            </w:hyperlink>
          </w:p>
        </w:tc>
        <w:tc>
          <w:tcPr>
            <w:tcW w:w="1120" w:type="dxa"/>
            <w:vAlign w:val="bottom"/>
            <w:gridSpan w:val="12"/>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333-2220321</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09/18/2017</w:t>
            </w: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4.15</w:t>
            </w:r>
          </w:p>
        </w:tc>
        <w:tc>
          <w:tcPr>
            <w:tcW w:w="4960" w:type="dxa"/>
            <w:vAlign w:val="bottom"/>
            <w:gridSpan w:val="2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Description of securities of the registrant</w:t>
              </w:r>
            </w:hyperlink>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001-38215</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03/10/2020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4.16</w:t>
            </w:r>
          </w:p>
        </w:tc>
        <w:tc>
          <w:tcPr>
            <w:tcW w:w="46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Minute of Variation between the registrant and Custodian REIT</w:t>
              </w:r>
            </w:hyperlink>
          </w:p>
        </w:tc>
        <w:tc>
          <w:tcPr>
            <w:tcW w:w="320" w:type="dxa"/>
            <w:vAlign w:val="bottom"/>
            <w:gridSpan w:val="6"/>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001-38215</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03/20/2025</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120" w:type="dxa"/>
            <w:vAlign w:val="bottom"/>
            <w:gridSpan w:val="8"/>
            <w:vMerge w:val="restart"/>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PLC, dated October 27, 2022</w:t>
              </w:r>
            </w:hyperlink>
          </w:p>
        </w:tc>
        <w:tc>
          <w:tcPr>
            <w:tcW w:w="2840" w:type="dxa"/>
            <w:vAlign w:val="bottom"/>
            <w:gridSpan w:val="19"/>
            <w:vMerge w:val="restart"/>
          </w:tcPr>
          <w:p>
            <w:pPr>
              <w:spacing w:after="0"/>
              <w:rPr>
                <w:sz w:val="11"/>
                <w:szCs w:val="11"/>
                <w:color w:val="auto"/>
              </w:rPr>
            </w:pPr>
          </w:p>
        </w:tc>
        <w:tc>
          <w:tcPr>
            <w:tcW w:w="1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5"/>
                <w:szCs w:val="5"/>
                <w:color w:val="auto"/>
              </w:rPr>
            </w:pPr>
          </w:p>
        </w:tc>
        <w:tc>
          <w:tcPr>
            <w:tcW w:w="2120" w:type="dxa"/>
            <w:vAlign w:val="bottom"/>
            <w:tcBorders>
              <w:bottom w:val="single" w:sz="8" w:color="0000FF"/>
            </w:tcBorders>
            <w:gridSpan w:val="8"/>
            <w:vMerge w:val="continue"/>
          </w:tcPr>
          <w:p>
            <w:pPr>
              <w:spacing w:after="0"/>
              <w:rPr>
                <w:sz w:val="5"/>
                <w:szCs w:val="5"/>
                <w:color w:val="auto"/>
              </w:rPr>
            </w:pPr>
          </w:p>
        </w:tc>
        <w:tc>
          <w:tcPr>
            <w:tcW w:w="2840" w:type="dxa"/>
            <w:vAlign w:val="bottom"/>
            <w:gridSpan w:val="19"/>
            <w:vMerge w:val="continue"/>
          </w:tcPr>
          <w:p>
            <w:pPr>
              <w:spacing w:after="0"/>
              <w:rPr>
                <w:sz w:val="5"/>
                <w:szCs w:val="5"/>
                <w:color w:val="auto"/>
              </w:rPr>
            </w:pPr>
          </w:p>
        </w:tc>
        <w:tc>
          <w:tcPr>
            <w:tcW w:w="13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46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Minute of Variation between the registrant and Custodian REIT</w:t>
            </w:r>
          </w:p>
        </w:tc>
        <w:tc>
          <w:tcPr>
            <w:tcW w:w="32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1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PLC, dated October 30, 2025</w:t>
            </w:r>
          </w:p>
        </w:tc>
        <w:tc>
          <w:tcPr>
            <w:tcW w:w="280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4.18</w:t>
            </w:r>
          </w:p>
        </w:tc>
        <w:tc>
          <w:tcPr>
            <w:tcW w:w="49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Sales Agreement, dated June 27, 2025, by and among the Company,</w:t>
              </w:r>
            </w:hyperlink>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6-K</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001-38215</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06/30/2025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A.G.P./Alliance Global Partners and Laidlaw &amp; Company (UK)</w:t>
              </w:r>
            </w:hyperlink>
          </w:p>
        </w:tc>
        <w:tc>
          <w:tcPr>
            <w:tcW w:w="30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60" w:type="dxa"/>
            <w:vAlign w:val="bottom"/>
            <w:gridSpan w:val="27"/>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Ltd.</w:t>
              </w:r>
            </w:hyperlink>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w:t>
            </w:r>
          </w:p>
        </w:tc>
        <w:tc>
          <w:tcPr>
            <w:tcW w:w="25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List of subsidiaries of the registrant</w:t>
              </w:r>
            </w:hyperlink>
          </w:p>
        </w:tc>
        <w:tc>
          <w:tcPr>
            <w:tcW w:w="20" w:type="dxa"/>
            <w:vAlign w:val="bottom"/>
            <w:tcBorders>
              <w:bottom w:val="single" w:sz="8" w:color="0000EE"/>
            </w:tcBorders>
          </w:tcPr>
          <w:p>
            <w:pPr>
              <w:spacing w:after="0"/>
              <w:rPr>
                <w:sz w:val="24"/>
                <w:szCs w:val="24"/>
                <w:color w:val="auto"/>
              </w:rPr>
            </w:pPr>
          </w:p>
        </w:tc>
        <w:tc>
          <w:tcPr>
            <w:tcW w:w="2380" w:type="dxa"/>
            <w:vAlign w:val="bottom"/>
            <w:gridSpan w:val="15"/>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F-1/A</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333-220321</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09/01/2017</w:t>
            </w: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12.1*</w:t>
            </w:r>
          </w:p>
        </w:tc>
        <w:tc>
          <w:tcPr>
            <w:tcW w:w="4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w:t>
            </w:r>
          </w:p>
        </w:tc>
        <w:tc>
          <w:tcPr>
            <w:tcW w:w="46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Officer, as adopted pursuant to §302 of the Sarbanes-Oxley Act of</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60" w:type="dxa"/>
            <w:vAlign w:val="bottom"/>
            <w:tcBorders>
              <w:top w:val="single" w:sz="8" w:color="0000FF"/>
              <w:bottom w:val="single" w:sz="8" w:color="0000EE"/>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12.2*</w:t>
            </w:r>
          </w:p>
        </w:tc>
        <w:tc>
          <w:tcPr>
            <w:tcW w:w="4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w:t>
            </w:r>
          </w:p>
        </w:tc>
        <w:tc>
          <w:tcPr>
            <w:tcW w:w="48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Officer, as adopted pursuant to §302 of the Sarbanes-Oxley Act of</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13.1*</w:t>
            </w: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 as</w:t>
            </w:r>
          </w:p>
        </w:tc>
        <w:tc>
          <w:tcPr>
            <w:tcW w:w="56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§906 of the Sarbanes-Oxley Act of 2002.</w:t>
            </w:r>
          </w:p>
        </w:tc>
        <w:tc>
          <w:tcPr>
            <w:tcW w:w="20" w:type="dxa"/>
            <w:vAlign w:val="bottom"/>
            <w:tcBorders>
              <w:bottom w:val="single" w:sz="8" w:color="0000EE"/>
            </w:tcBorders>
          </w:tcPr>
          <w:p>
            <w:pPr>
              <w:spacing w:after="0"/>
              <w:rPr>
                <w:sz w:val="17"/>
                <w:szCs w:val="17"/>
                <w:color w:val="auto"/>
              </w:rPr>
            </w:pPr>
          </w:p>
        </w:tc>
        <w:tc>
          <w:tcPr>
            <w:tcW w:w="50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13.2*</w:t>
            </w:r>
          </w:p>
        </w:tc>
        <w:tc>
          <w:tcPr>
            <w:tcW w:w="49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 as adopted</w:t>
            </w: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8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§906 of the Sarbanes-Oxley Act of 2002.</w:t>
            </w:r>
          </w:p>
        </w:tc>
        <w:tc>
          <w:tcPr>
            <w:tcW w:w="1140" w:type="dxa"/>
            <w:vAlign w:val="bottom"/>
            <w:gridSpan w:val="13"/>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15.1*</w:t>
            </w:r>
          </w:p>
        </w:tc>
        <w:tc>
          <w:tcPr>
            <w:tcW w:w="2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w:t>
            </w:r>
          </w:p>
        </w:tc>
        <w:tc>
          <w:tcPr>
            <w:tcW w:w="2660" w:type="dxa"/>
            <w:vAlign w:val="bottom"/>
            <w:gridSpan w:val="17"/>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19.1*</w:t>
            </w:r>
          </w:p>
        </w:tc>
        <w:tc>
          <w:tcPr>
            <w:tcW w:w="49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40" w:type="dxa"/>
            <w:vAlign w:val="bottom"/>
            <w:tcBorders>
              <w:right w:val="single" w:sz="8" w:color="0000EE"/>
            </w:tcBorders>
            <w:gridSpan w:val="7"/>
            <w:shd w:val="clear" w:color="auto" w:fill="0000FF"/>
          </w:tcPr>
          <w:p>
            <w:pPr>
              <w:spacing w:after="0" w:line="20" w:lineRule="exact"/>
              <w:rPr>
                <w:sz w:val="1"/>
                <w:szCs w:val="1"/>
                <w:color w:val="auto"/>
              </w:rPr>
            </w:pPr>
          </w:p>
        </w:tc>
        <w:tc>
          <w:tcPr>
            <w:tcW w:w="30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97.1</w:t>
            </w:r>
          </w:p>
        </w:tc>
        <w:tc>
          <w:tcPr>
            <w:tcW w:w="4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Clawback Policy, adopted by the registrant on December 1, 2023</w:t>
              </w:r>
            </w:hyperlink>
          </w:p>
        </w:tc>
        <w:tc>
          <w:tcPr>
            <w:tcW w:w="20" w:type="dxa"/>
            <w:vAlign w:val="bottom"/>
            <w:tcBorders>
              <w:bottom w:val="single" w:sz="8" w:color="0000EE"/>
            </w:tcBorders>
          </w:tcPr>
          <w:p>
            <w:pPr>
              <w:spacing w:after="0"/>
              <w:rPr>
                <w:sz w:val="24"/>
                <w:szCs w:val="24"/>
                <w:color w:val="auto"/>
              </w:rPr>
            </w:pPr>
          </w:p>
        </w:tc>
        <w:tc>
          <w:tcPr>
            <w:tcW w:w="240" w:type="dxa"/>
            <w:vAlign w:val="bottom"/>
            <w:gridSpan w:val="3"/>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20-F</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001-38215</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97.1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03/20/2025</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101.Inline INS 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101.Inline SCH XBRL Taxonomy Extension Schema With Embedded Linkbase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Inline XBRL Cover Page Interactive Data File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170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right="180" w:firstLine="8"/>
        <w:spacing w:after="0" w:line="282" w:lineRule="auto"/>
        <w:tabs>
          <w:tab w:leader="none" w:pos="1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previously requested and granted as to portions of the exhibit. Confidential materials omitted and filed separately with the Securities and Exchange Commission.</w:t>
      </w:r>
    </w:p>
    <w:p>
      <w:pPr>
        <w:spacing w:after="0" w:line="54" w:lineRule="exact"/>
        <w:rPr>
          <w:sz w:val="20"/>
          <w:szCs w:val="20"/>
          <w:color w:val="auto"/>
        </w:rPr>
      </w:pPr>
    </w:p>
    <w:p>
      <w:pPr>
        <w:ind w:right="240" w:firstLine="8"/>
        <w:spacing w:after="0" w:line="282" w:lineRule="auto"/>
        <w:tabs>
          <w:tab w:leader="none" w:pos="1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exhibits that are not material and would be competitively harmful if publicly disclosed have been redacted. Copies of the unredacted exhibits will be furnished to the Securities and Exchange Commission upon request.</w:t>
      </w:r>
    </w:p>
    <w:p>
      <w:pPr>
        <w:spacing w:after="0" w:line="16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93" w:right="819" w:bottom="1440" w:gutter="0" w:footer="0" w:header="0"/>
        </w:sectPr>
      </w:pPr>
    </w:p>
    <w:bookmarkStart w:id="164" w:name="page165"/>
    <w:bookmarkEnd w:id="164"/>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252"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Hugh S.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19685</wp:posOffset>
            </wp:positionV>
            <wp:extent cx="32746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760" w:val="left"/>
        </w:tabs>
        <w:rPr>
          <w:sz w:val="20"/>
          <w:szCs w:val="20"/>
          <w:color w:val="auto"/>
        </w:rPr>
      </w:pPr>
      <w:r>
        <w:rPr>
          <w:rFonts w:ascii="Times New Roman" w:cs="Times New Roman" w:eastAsia="Times New Roman" w:hAnsi="Times New Roman"/>
          <w:sz w:val="18"/>
          <w:szCs w:val="18"/>
          <w:color w:val="auto"/>
        </w:rPr>
        <w:t>Name:</w:t>
        <w:tab/>
        <w:t>Hugh S. Griffith</w:t>
      </w:r>
    </w:p>
    <w:p>
      <w:pPr>
        <w:spacing w:after="0" w:line="23" w:lineRule="exact"/>
        <w:rPr>
          <w:sz w:val="20"/>
          <w:szCs w:val="20"/>
          <w:color w:val="auto"/>
        </w:rPr>
      </w:pPr>
    </w:p>
    <w:p>
      <w:pPr>
        <w:ind w:left="6080"/>
        <w:spacing w:after="0"/>
        <w:tabs>
          <w:tab w:leader="none" w:pos="6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089" w:right="1239" w:bottom="1440" w:gutter="0" w:footer="0" w:header="0"/>
        </w:sectPr>
      </w:pPr>
    </w:p>
    <w:bookmarkStart w:id="165" w:name="page166"/>
    <w:bookmarkEnd w:id="165"/>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gridSpan w:val="9"/>
          </w:tcPr>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0" w:type="dxa"/>
            <w:vAlign w:val="bottom"/>
          </w:tcPr>
          <w:p>
            <w:pPr>
              <w:spacing w:after="0"/>
              <w:rPr>
                <w:sz w:val="20"/>
                <w:szCs w:val="20"/>
                <w:color w:val="auto"/>
              </w:rPr>
            </w:pPr>
          </w:p>
        </w:tc>
      </w:tr>
      <w:tr>
        <w:trPr>
          <w:trHeight w:val="324"/>
        </w:trPr>
        <w:tc>
          <w:tcPr>
            <w:tcW w:w="5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ID:1438)</w:t>
            </w:r>
          </w:p>
        </w:tc>
        <w:tc>
          <w:tcPr>
            <w:tcW w:w="3800" w:type="dxa"/>
            <w:vAlign w:val="bottom"/>
            <w:gridSpan w:val="7"/>
          </w:tcPr>
          <w:p>
            <w:pPr>
              <w:spacing w:after="0"/>
              <w:rPr>
                <w:sz w:val="24"/>
                <w:szCs w:val="24"/>
                <w:color w:val="auto"/>
              </w:rPr>
            </w:pPr>
          </w:p>
        </w:tc>
        <w:tc>
          <w:tcPr>
            <w:tcW w:w="18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F-1</w:t>
            </w:r>
          </w:p>
        </w:tc>
      </w:tr>
      <w:tr>
        <w:trPr>
          <w:trHeight w:val="196"/>
        </w:trPr>
        <w:tc>
          <w:tcPr>
            <w:tcW w:w="68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0" w:type="dxa"/>
            <w:vAlign w:val="bottom"/>
            <w:tcBorders>
              <w:bottom w:val="single" w:sz="8" w:color="0000EE"/>
            </w:tcBorders>
          </w:tcPr>
          <w:p>
            <w:pPr>
              <w:spacing w:after="0"/>
              <w:rPr>
                <w:sz w:val="17"/>
                <w:szCs w:val="17"/>
                <w:color w:val="auto"/>
              </w:rPr>
            </w:pPr>
          </w:p>
        </w:tc>
        <w:tc>
          <w:tcPr>
            <w:tcW w:w="2560" w:type="dxa"/>
            <w:vAlign w:val="bottom"/>
            <w:gridSpan w:val="4"/>
          </w:tcPr>
          <w:p>
            <w:pPr>
              <w:spacing w:after="0"/>
              <w:rPr>
                <w:sz w:val="17"/>
                <w:szCs w:val="17"/>
                <w:color w:val="auto"/>
              </w:rPr>
            </w:pPr>
          </w:p>
        </w:tc>
        <w:tc>
          <w:tcPr>
            <w:tcW w:w="180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2025, 2024 and 2023</w:t>
            </w:r>
          </w:p>
        </w:tc>
        <w:tc>
          <w:tcPr>
            <w:tcW w:w="180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576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Financial Position at December 31, 2025 and 2024</w:t>
            </w:r>
          </w:p>
        </w:tc>
        <w:tc>
          <w:tcPr>
            <w:tcW w:w="1820" w:type="dxa"/>
            <w:vAlign w:val="bottom"/>
            <w:tcBorders>
              <w:top w:val="single" w:sz="8" w:color="0000FF"/>
            </w:tcBorders>
            <w:gridSpan w:val="5"/>
          </w:tcPr>
          <w:p>
            <w:pPr>
              <w:spacing w:after="0"/>
              <w:rPr>
                <w:sz w:val="17"/>
                <w:szCs w:val="17"/>
                <w:color w:val="auto"/>
              </w:rPr>
            </w:pPr>
          </w:p>
        </w:tc>
        <w:tc>
          <w:tcPr>
            <w:tcW w:w="1860" w:type="dxa"/>
            <w:vAlign w:val="bottom"/>
          </w:tcPr>
          <w:p>
            <w:pPr>
              <w:spacing w:after="0"/>
              <w:rPr>
                <w:sz w:val="17"/>
                <w:szCs w:val="17"/>
                <w:color w:val="auto"/>
              </w:rPr>
            </w:pPr>
          </w:p>
        </w:tc>
        <w:tc>
          <w:tcPr>
            <w:tcW w:w="180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74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Equity for the years ended December 31, 2025, 2024 and 2023</w:t>
            </w:r>
          </w:p>
        </w:tc>
        <w:tc>
          <w:tcPr>
            <w:tcW w:w="2040" w:type="dxa"/>
            <w:vAlign w:val="bottom"/>
            <w:gridSpan w:val="2"/>
          </w:tcPr>
          <w:p>
            <w:pPr>
              <w:spacing w:after="0"/>
              <w:rPr>
                <w:sz w:val="17"/>
                <w:szCs w:val="17"/>
                <w:color w:val="auto"/>
              </w:rPr>
            </w:pPr>
          </w:p>
        </w:tc>
        <w:tc>
          <w:tcPr>
            <w:tcW w:w="180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6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2520" w:type="dxa"/>
            <w:vAlign w:val="bottom"/>
            <w:gridSpan w:val="3"/>
          </w:tcPr>
          <w:p>
            <w:pPr>
              <w:spacing w:after="0"/>
              <w:rPr>
                <w:sz w:val="17"/>
                <w:szCs w:val="17"/>
                <w:color w:val="auto"/>
              </w:rPr>
            </w:pPr>
          </w:p>
        </w:tc>
        <w:tc>
          <w:tcPr>
            <w:tcW w:w="180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80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472"/>
        </w:trPr>
        <w:tc>
          <w:tcPr>
            <w:tcW w:w="3420" w:type="dxa"/>
            <w:vAlign w:val="bottom"/>
            <w:tcBorders>
              <w:top w:val="single" w:sz="8" w:color="0000FF"/>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NuCana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2"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NuCana plc (the Company) as of December 31, 2025 and 2024, the related consolidated statements of operations, comprehensive loss,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International Financial Reporting Standards (IFRS) as issued by the International Accounting Standards Board (IASB) and in conformity with U.K. adopted international accounting standards.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67" w:name="page168"/>
    <w:bookmarkEnd w:id="167"/>
    <w:tbl>
      <w:tblPr>
        <w:tblLayout w:type="fixed"/>
        <w:tblInd w:w="1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Recognition of clinical trial investigator fees</w:t>
            </w:r>
          </w:p>
        </w:tc>
      </w:tr>
      <w:tr>
        <w:trPr>
          <w:trHeight w:val="469"/>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r>
        <w:trPr>
          <w:trHeight w:val="154"/>
        </w:trPr>
        <w:tc>
          <w:tcPr>
            <w:tcW w:w="3060" w:type="dxa"/>
            <w:vAlign w:val="bottom"/>
            <w:tcBorders>
              <w:left w:val="single" w:sz="8" w:color="auto"/>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7"/>
                <w:szCs w:val="17"/>
                <w:color w:val="auto"/>
              </w:rPr>
              <w:t>Description of the Matter</w:t>
            </w:r>
          </w:p>
        </w:tc>
        <w:tc>
          <w:tcPr>
            <w:tcW w:w="818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At December 31, 2025, the Company has recognized accruals for clinical trial investigator fees of £2.4</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million, within the total of £2.4 million of accruals for clinical trial expenses. As disclosed in note 2 of the</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consolidated financial statements, the Company recognizes within clinical trial expenses, investigator fees for</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trials in the statement of operations in the period in which they are incurred, which depends on</w:t>
            </w: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management’s assessment of the progress of clinical trials at the period end.</w:t>
            </w:r>
          </w:p>
        </w:tc>
      </w:tr>
      <w:tr>
        <w:trPr>
          <w:trHeight w:val="414"/>
        </w:trPr>
        <w:tc>
          <w:tcPr>
            <w:tcW w:w="3060" w:type="dxa"/>
            <w:vAlign w:val="bottom"/>
            <w:tcBorders>
              <w:left w:val="single" w:sz="8" w:color="auto"/>
              <w:right w:val="single" w:sz="8" w:color="auto"/>
            </w:tcBorders>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Auditing the accounting for clinical trial investigator fees was challenging, due to the judgement and</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subjectivity involved in management’s assessment of the investigator fees incurred relative to the progress of</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trials, specifically activities conducted by third-party service providers, activities conducted by</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management, and the evaluation of the completeness and accuracy of the data used to estimate the related</w:t>
            </w: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accruals.</w:t>
            </w:r>
          </w:p>
        </w:tc>
      </w:tr>
      <w:tr>
        <w:trPr>
          <w:trHeight w:val="253"/>
        </w:trPr>
        <w:tc>
          <w:tcPr>
            <w:tcW w:w="3060" w:type="dxa"/>
            <w:vAlign w:val="bottom"/>
            <w:tcBorders>
              <w:left w:val="single" w:sz="8" w:color="auto"/>
              <w:bottom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1"/>
                <w:szCs w:val="21"/>
                <w:color w:val="auto"/>
              </w:rPr>
            </w:pPr>
          </w:p>
        </w:tc>
      </w:tr>
      <w:tr>
        <w:trPr>
          <w:trHeight w:val="154"/>
        </w:trPr>
        <w:tc>
          <w:tcPr>
            <w:tcW w:w="3060" w:type="dxa"/>
            <w:vAlign w:val="bottom"/>
            <w:tcBorders>
              <w:left w:val="single" w:sz="8" w:color="auto"/>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7"/>
                <w:szCs w:val="17"/>
                <w:color w:val="auto"/>
              </w:rPr>
              <w:t>How we addressed the matter in our</w:t>
            </w:r>
          </w:p>
        </w:tc>
        <w:tc>
          <w:tcPr>
            <w:tcW w:w="818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To assess the accounting for clinical trial investigator fees, our audit procedures included, among others,</w:t>
            </w:r>
          </w:p>
        </w:tc>
      </w:tr>
      <w:tr>
        <w:trPr>
          <w:trHeight w:val="216"/>
        </w:trPr>
        <w:tc>
          <w:tcPr>
            <w:tcW w:w="3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audit</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testing the completeness and accuracy of underlying data used by management to estimate investigator fees</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incurred, by inspecting the related contracts and amendments to the contracts with third-party service</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providers and comparing the contracted rates to those applied in management’s estimate. In order to assess the</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progress of clinical trial activities at the period end, our procedures included inquiry of research and</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development personnel, including the Chief Operating Officer, regarding such progress and comparing to</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third-party reports detailing the progress of clinical trials. We considered the consistency of materials</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reviewed by the Board of Directors regarding the status of clinical trial progress with the judgements applied</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management. We also inspected invoices received from third-party service providers and compared</w:t>
            </w: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payments made after December 31, 2025, to the accruals for clinical trial investigator expenses as at</w:t>
            </w: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6"/>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81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5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13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thousands, except per</w:t>
            </w:r>
          </w:p>
        </w:tc>
        <w:tc>
          <w:tcPr>
            <w:tcW w:w="1380" w:type="dxa"/>
            <w:vAlign w:val="bottom"/>
            <w:gridSpan w:val="2"/>
          </w:tcPr>
          <w:p>
            <w:pPr>
              <w:jc w:val="right"/>
              <w:ind w:right="596"/>
              <w:spacing w:after="0" w:line="118" w:lineRule="exact"/>
              <w:rPr>
                <w:sz w:val="20"/>
                <w:szCs w:val="20"/>
                <w:color w:val="auto"/>
              </w:rPr>
            </w:pPr>
            <w:r>
              <w:rPr>
                <w:rFonts w:ascii="Times New Roman" w:cs="Times New Roman" w:eastAsia="Times New Roman" w:hAnsi="Times New Roman"/>
                <w:sz w:val="13"/>
                <w:szCs w:val="13"/>
                <w:b w:val="1"/>
                <w:bCs w:val="1"/>
                <w:color w:val="auto"/>
              </w:rPr>
              <w:t>share data)</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3"/>
        </w:trPr>
        <w:tc>
          <w:tcPr>
            <w:tcW w:w="5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(12,737)</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(18,017)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(25,062)</w:t>
            </w:r>
          </w:p>
        </w:tc>
        <w:tc>
          <w:tcPr>
            <w:tcW w:w="18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tcPr>
          <w:p>
            <w:pPr>
              <w:spacing w:after="0"/>
              <w:rPr>
                <w:sz w:val="18"/>
                <w:szCs w:val="18"/>
                <w:color w:val="auto"/>
              </w:rPr>
            </w:pPr>
          </w:p>
        </w:tc>
        <w:tc>
          <w:tcPr>
            <w:tcW w:w="16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(8,096)</w:t>
            </w:r>
          </w:p>
        </w:tc>
        <w:tc>
          <w:tcPr>
            <w:tcW w:w="40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(4,988)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(6,063)</w:t>
            </w:r>
          </w:p>
        </w:tc>
        <w:tc>
          <w:tcPr>
            <w:tcW w:w="180" w:type="dxa"/>
            <w:vAlign w:val="bottom"/>
          </w:tcPr>
          <w:p>
            <w:pPr>
              <w:spacing w:after="0"/>
              <w:rPr>
                <w:sz w:val="18"/>
                <w:szCs w:val="18"/>
                <w:color w:val="auto"/>
              </w:rPr>
            </w:pP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(33)</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(losses) gains</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tcPr>
          <w:p>
            <w:pPr>
              <w:spacing w:after="0"/>
              <w:rPr>
                <w:sz w:val="18"/>
                <w:szCs w:val="18"/>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(20,110)</w:t>
            </w:r>
          </w:p>
        </w:tc>
        <w:tc>
          <w:tcPr>
            <w:tcW w:w="40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(22,809)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(32,784)</w:t>
            </w:r>
          </w:p>
        </w:tc>
        <w:tc>
          <w:tcPr>
            <w:tcW w:w="180" w:type="dxa"/>
            <w:vAlign w:val="bottom"/>
          </w:tcPr>
          <w:p>
            <w:pPr>
              <w:spacing w:after="0"/>
              <w:rPr>
                <w:sz w:val="18"/>
                <w:szCs w:val="18"/>
                <w:color w:val="auto"/>
              </w:rPr>
            </w:pP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(12,648)</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3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(30,521)</w:t>
            </w:r>
          </w:p>
        </w:tc>
        <w:tc>
          <w:tcPr>
            <w:tcW w:w="40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(22,451)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(32,030)</w:t>
            </w:r>
          </w:p>
        </w:tc>
        <w:tc>
          <w:tcPr>
            <w:tcW w:w="180" w:type="dxa"/>
            <w:vAlign w:val="bottom"/>
          </w:tcPr>
          <w:p>
            <w:pPr>
              <w:spacing w:after="0"/>
              <w:rPr>
                <w:sz w:val="18"/>
                <w:szCs w:val="18"/>
                <w:color w:val="auto"/>
              </w:rPr>
            </w:pPr>
          </w:p>
        </w:tc>
      </w:tr>
      <w:tr>
        <w:trPr>
          <w:trHeight w:val="216"/>
        </w:trPr>
        <w:tc>
          <w:tcPr>
            <w:tcW w:w="6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year attributable to equity holders of the Company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(29,353)</w:t>
            </w:r>
          </w:p>
        </w:tc>
        <w:tc>
          <w:tcPr>
            <w:tcW w:w="40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(18,997)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(27,632)</w:t>
            </w:r>
          </w:p>
        </w:tc>
        <w:tc>
          <w:tcPr>
            <w:tcW w:w="180" w:type="dxa"/>
            <w:vAlign w:val="bottom"/>
          </w:tcPr>
          <w:p>
            <w:pPr>
              <w:spacing w:after="0"/>
              <w:rPr>
                <w:sz w:val="18"/>
                <w:szCs w:val="18"/>
                <w:color w:val="auto"/>
              </w:rPr>
            </w:pPr>
          </w:p>
        </w:tc>
      </w:tr>
      <w:tr>
        <w:trPr>
          <w:trHeight w:val="20"/>
        </w:trPr>
        <w:tc>
          <w:tcPr>
            <w:tcW w:w="6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560" w:type="dxa"/>
            <w:vAlign w:val="bottom"/>
            <w:gridSpan w:val="2"/>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tcPr>
          <w:p>
            <w:pPr>
              <w:spacing w:after="0"/>
              <w:rPr>
                <w:sz w:val="20"/>
                <w:szCs w:val="20"/>
                <w:color w:val="auto"/>
              </w:rPr>
            </w:pPr>
          </w:p>
        </w:tc>
        <w:tc>
          <w:tcPr>
            <w:tcW w:w="96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(0.26)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20"/>
                <w:szCs w:val="20"/>
                <w:color w:val="auto"/>
              </w:rPr>
            </w:pPr>
          </w:p>
        </w:tc>
      </w:tr>
      <w:tr>
        <w:trPr>
          <w:trHeight w:val="414"/>
        </w:trPr>
        <w:tc>
          <w:tcPr>
            <w:tcW w:w="8840" w:type="dxa"/>
            <w:vAlign w:val="bottom"/>
            <w:gridSpan w:val="7"/>
          </w:tcPr>
          <w:p>
            <w:pPr>
              <w:ind w:left="2420"/>
              <w:spacing w:after="0"/>
              <w:rPr>
                <w:sz w:val="20"/>
                <w:szCs w:val="20"/>
                <w:color w:val="auto"/>
              </w:rPr>
            </w:pPr>
            <w:r>
              <w:rPr>
                <w:rFonts w:ascii="Times New Roman" w:cs="Times New Roman" w:eastAsia="Times New Roman" w:hAnsi="Times New Roman"/>
                <w:sz w:val="18"/>
                <w:szCs w:val="18"/>
                <w:color w:val="auto"/>
                <w:w w:val="99"/>
              </w:rPr>
              <w:t>The accompanying notes form an integral part of these consolidated financial statements.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656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76"/>
        </w:trPr>
        <w:tc>
          <w:tcPr>
            <w:tcW w:w="5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-2339340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-2339340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-2339340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-1782445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-1782445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-1782445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-1499235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-1499235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-1499235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gridSpan w:val="2"/>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16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0"/>
                <w:szCs w:val="10"/>
                <w:color w:val="auto"/>
              </w:rPr>
            </w:pPr>
          </w:p>
        </w:tc>
        <w:tc>
          <w:tcPr>
            <w:tcW w:w="12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(29,353)</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(18,997)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(27,632)</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(expense) income: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(expense) income for the year</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(29,414)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(18,982)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(27,673)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holders of the Company</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(29,414)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(18,982)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(27,673)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940" w:type="dxa"/>
            <w:vAlign w:val="bottom"/>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accrued income and other receivables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receivable</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26,861</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29,834</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6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and reserves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capital and share premium</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189,586</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(252,334)</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(224,294)</w:t>
            </w:r>
          </w:p>
        </w:tc>
        <w:tc>
          <w:tcPr>
            <w:tcW w:w="0" w:type="dxa"/>
            <w:vAlign w:val="bottom"/>
          </w:tcPr>
          <w:p>
            <w:pPr>
              <w:spacing w:after="0"/>
              <w:rPr>
                <w:sz w:val="1"/>
                <w:szCs w:val="1"/>
                <w:color w:val="auto"/>
              </w:rPr>
            </w:pPr>
          </w:p>
        </w:tc>
      </w:tr>
      <w:tr>
        <w:trPr>
          <w:trHeight w:val="210"/>
        </w:trPr>
        <w:tc>
          <w:tcPr>
            <w:tcW w:w="7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equity holders of the Company</w:t>
            </w:r>
          </w:p>
        </w:tc>
        <w:tc>
          <w:tcPr>
            <w:tcW w:w="3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24,327</w:t>
            </w:r>
          </w:p>
        </w:tc>
        <w:tc>
          <w:tcPr>
            <w:tcW w:w="20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taxes and social security</w:t>
            </w: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expenditure</w:t>
            </w:r>
          </w:p>
        </w:tc>
        <w:tc>
          <w:tcPr>
            <w:tcW w:w="3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4,793</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5,507</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29,834</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0200" w:type="dxa"/>
            <w:vAlign w:val="bottom"/>
            <w:gridSpan w:val="7"/>
          </w:tcPr>
          <w:p>
            <w:pPr>
              <w:ind w:left="24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6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-5588635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-5588635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-4748530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-4748530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-4457065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-4439920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-3608070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-1370965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-1079500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1" w:name="page172"/>
    <w:bookmarkEnd w:id="1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ectPr>
          <w:pgSz w:w="11900" w:h="16838" w:orient="portrait"/>
          <w:cols w:equalWidth="0" w:num="1">
            <w:col w:w="11180"/>
          </w:cols>
          <w:pgMar w:left="320" w:top="1089" w:right="39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2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460" w:type="dxa"/>
            <w:vAlign w:val="bottom"/>
            <w:vMerge w:val="continue"/>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2,095</w:t>
            </w:r>
          </w:p>
        </w:tc>
        <w:tc>
          <w:tcPr>
            <w:tcW w:w="11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141,108</w:t>
            </w:r>
          </w:p>
        </w:tc>
        <w:tc>
          <w:tcPr>
            <w:tcW w:w="260" w:type="dxa"/>
            <w:vAlign w:val="bottom"/>
          </w:tcPr>
          <w:p>
            <w:pPr>
              <w:spacing w:after="0"/>
              <w:rPr>
                <w:sz w:val="13"/>
                <w:szCs w:val="13"/>
                <w:color w:val="auto"/>
              </w:rPr>
            </w:pPr>
          </w:p>
        </w:tc>
        <w:tc>
          <w:tcPr>
            <w:tcW w:w="9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(339)</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expense for the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4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year</w:t>
            </w: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comprehensive loss for the year</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payments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share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Lapse of share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Issue of share capital</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26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Share issue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2,114</w:t>
            </w:r>
          </w:p>
        </w:tc>
        <w:tc>
          <w:tcPr>
            <w:tcW w:w="24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141,306</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for the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4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year</w:t>
            </w: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comprehensive loss for the year</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payments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share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Lapse of share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Issue of share capital</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3,561</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5,168</w:t>
            </w:r>
          </w:p>
        </w:tc>
        <w:tc>
          <w:tcPr>
            <w:tcW w:w="26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Share issue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(329)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5,681</w:t>
            </w:r>
          </w:p>
        </w:tc>
        <w:tc>
          <w:tcPr>
            <w:tcW w:w="24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146,146</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expense for the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4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year</w:t>
            </w: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comprehensive loss for the year</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payments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share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Lapse of share options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Issue of share capital</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4,927</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15,258</w:t>
            </w:r>
          </w:p>
        </w:tc>
        <w:tc>
          <w:tcPr>
            <w:tcW w:w="26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15,188</w:t>
            </w:r>
          </w:p>
        </w:tc>
        <w:tc>
          <w:tcPr>
            <w:tcW w:w="26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Share issue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(1,346)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14,340</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175,246</w:t>
            </w:r>
          </w:p>
        </w:tc>
        <w:tc>
          <w:tcPr>
            <w:tcW w:w="2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939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939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939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939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939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939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132320" cy="946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939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939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93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946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0" w:type="dxa"/>
            <w:vAlign w:val="bottom"/>
          </w:tcPr>
          <w:p>
            <w:pPr>
              <w:spacing w:after="0"/>
              <w:rPr>
                <w:sz w:val="1"/>
                <w:szCs w:val="1"/>
                <w:color w:val="auto"/>
              </w:rPr>
            </w:pPr>
          </w:p>
        </w:tc>
      </w:tr>
      <w:tr>
        <w:trPr>
          <w:trHeight w:val="148"/>
        </w:trPr>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equity</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holders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gridSpan w:val="4"/>
          </w:tcPr>
          <w:p>
            <w:pPr>
              <w:jc w:val="right"/>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33,701</w:t>
            </w:r>
          </w:p>
        </w:tc>
        <w:tc>
          <w:tcPr>
            <w:tcW w:w="22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44</w:t>
            </w:r>
          </w:p>
        </w:tc>
        <w:tc>
          <w:tcPr>
            <w:tcW w:w="22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42,466</w:t>
            </w:r>
          </w:p>
        </w:tc>
        <w:tc>
          <w:tcPr>
            <w:tcW w:w="130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(180,573)</w:t>
            </w:r>
          </w:p>
        </w:tc>
        <w:tc>
          <w:tcPr>
            <w:tcW w:w="9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38,502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(27,632)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(27,632)</w:t>
            </w:r>
          </w:p>
        </w:tc>
        <w:tc>
          <w:tcPr>
            <w:tcW w:w="0" w:type="dxa"/>
            <w:vAlign w:val="bottom"/>
          </w:tcPr>
          <w:p>
            <w:pPr>
              <w:spacing w:after="0"/>
              <w:rPr>
                <w:sz w:val="1"/>
                <w:szCs w:val="1"/>
                <w:color w:val="auto"/>
              </w:rPr>
            </w:pPr>
          </w:p>
        </w:tc>
      </w:tr>
      <w:tr>
        <w:trPr>
          <w:trHeight w:val="266"/>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19"/>
        </w:trPr>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(27,632)</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(27,673)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22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19"/>
        </w:trPr>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37,043</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42,466</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(207,706)</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14,887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(18,997)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(18,997)</w:t>
            </w:r>
          </w:p>
        </w:tc>
        <w:tc>
          <w:tcPr>
            <w:tcW w:w="0" w:type="dxa"/>
            <w:vAlign w:val="bottom"/>
          </w:tcPr>
          <w:p>
            <w:pPr>
              <w:spacing w:after="0"/>
              <w:rPr>
                <w:sz w:val="1"/>
                <w:szCs w:val="1"/>
                <w:color w:val="auto"/>
              </w:rPr>
            </w:pPr>
          </w:p>
        </w:tc>
      </w:tr>
      <w:tr>
        <w:trPr>
          <w:trHeight w:val="267"/>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(18,997)</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(18,982)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(2,083)</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2,083</w:t>
            </w:r>
          </w:p>
        </w:tc>
        <w:tc>
          <w:tcPr>
            <w:tcW w:w="2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19"/>
        </w:trPr>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36,276</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18</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42,466</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(224,294)</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5,954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(29,353)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(29,353)</w:t>
            </w:r>
          </w:p>
        </w:tc>
        <w:tc>
          <w:tcPr>
            <w:tcW w:w="0" w:type="dxa"/>
            <w:vAlign w:val="bottom"/>
          </w:tcPr>
          <w:p>
            <w:pPr>
              <w:spacing w:after="0"/>
              <w:rPr>
                <w:sz w:val="1"/>
                <w:szCs w:val="1"/>
                <w:color w:val="auto"/>
              </w:rPr>
            </w:pPr>
          </w:p>
        </w:tc>
      </w:tr>
      <w:tr>
        <w:trPr>
          <w:trHeight w:val="267"/>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19"/>
        </w:trPr>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(61)</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(29,353)</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(29,414)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10,028</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22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44,991</w:t>
            </w: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w:t>
            </w: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42,466</w:t>
            </w: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(252,334)</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80" w:space="180"/>
            <w:col w:w="5320"/>
          </w:cols>
          <w:pgMar w:left="320" w:top="1089"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3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36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360" w:type="dxa"/>
            <w:vAlign w:val="bottom"/>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0"/>
                <w:szCs w:val="10"/>
                <w:color w:val="auto"/>
              </w:rPr>
            </w:pPr>
          </w:p>
        </w:tc>
        <w:tc>
          <w:tcPr>
            <w:tcW w:w="136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(29,353)</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(18,997)</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(27,632)</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(1,168)</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(3,454)</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Movement in provisions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losses (gains)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(7,783)</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(20,950)</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(30,753)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prepayments, accrued income and other receivables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trade payables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(2,183)</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payroll taxes, social security and accrued expenditure</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(1,598)</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(3,250)</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(3,672)</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(2,183)</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operations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(11,455)</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(23,133)</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(32,034)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tax received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(7,467)</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(19,118)</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(26,439)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other assets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from investing activities</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lease liabilities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issue of share capital</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issue of warrants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cancellation of warrants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issue expenses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(1,346)</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 (used in) financing activities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8,184</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(10,855)</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(23,604)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6,749</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24,251</w:t>
            </w:r>
          </w:p>
        </w:tc>
        <w:tc>
          <w:tcPr>
            <w:tcW w:w="20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6,749</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-3256915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-3256915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-3256915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-1851025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-1851025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-1851025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-744855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NuCana plc (“NuCana” or the “Company”) is a clinical-stage biopharmaceutical company developing a portfolio of new medicines to treat patients with cancer. NuCana is harnessing the power of phosphoramidate chemistry to generate new medicines called ProTides. These compounds have the potential to improve cancer treatment by enhancing the efficacy and safety of several current standards of care.</w:t>
      </w:r>
    </w:p>
    <w:p>
      <w:pPr>
        <w:spacing w:after="0" w:line="20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had American Depository Shares (“ADSs”) registered with the US Securities and Exchange Commission (“SEC”) and has been listed on Nasdaq since October 2, 2017. From November 9, 2023 the Company transferred its listing to The Nasdaq Capital Market.</w:t>
      </w:r>
    </w:p>
    <w:p>
      <w:pPr>
        <w:spacing w:after="0" w:line="16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is incorporated in England and Wales and domiciled in the United Kingdom. The Company’s registered office is located at 77/78 Cannon Street, London EC4N 6AF, United Kingdom and its principal place of business is located at 3 Lochside Way, Edinburgh, EH12 9DT, United Kingdom.</w:t>
      </w:r>
    </w:p>
    <w:p>
      <w:pPr>
        <w:spacing w:after="0" w:line="20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three wholly owned subsidiaries, NuCana Limited, NuCana, Inc. and NuCana BioMed Trustee Company Limited. The financial statements for the Company were authorized for issue by the board of directors on March 19,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International Financial Reporting Standards (“IFRS”) as issued by the International Accounting Standards Board (“IASB”) and in conformity with U.K. adopted international accounting standards.</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comprise the financial statements of the Company and its subsidiaries at December 31, 2025. The financial statements are presented in pounds sterling, which is also the Company’s functional currency. All values are rounded to the nearest thousand, except where otherwise indicated.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presented on the basis that it is a going concern. The Company has not generated any revenues from operations to date and does not expect to in the foreseeable future. As such, the Company has incurred recurring net losses, has an accumulated deficit totaling £252.3 million and cash flows used in operating activities of £7.5 million as of and for the year ended December 31, 2025. The Company had £24.3 million of cash and cash equivalents at December 31, 2025.</w:t>
      </w:r>
    </w:p>
    <w:p>
      <w:pPr>
        <w:spacing w:after="0" w:line="4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reviewing the going concern assessment the Company’s board of directors have considered a going concern period of 12-months from the issuance of these financial statements. Based on our current operating budgets and development plans, our cash and cash equivalents on hand will be sufficient to fund our anticipated operations for the entirety of the going concern assessment period. The board of directors is therefore satisfied that it is appropriate to adopt the going concern basis of accounting in preparing the financial statements.</w:t>
      </w:r>
    </w:p>
    <w:p>
      <w:pPr>
        <w:spacing w:after="0" w:line="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the Company continues to incur losses, the transition to profitability is dependent upon the successful development, approval and commercialization of its product candidates and achieving a level of revenues adequate to support its cost structure. The Company may never achieve profitability, and unless and until it does, it will continue to need additional capital beyond the going concern assessment period. The Company may also need to raise additional funds if it chooses to expand its current development program. There can be no assurances, however, that additional funding will be available on acceptable terms.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4" w:name="page175"/>
    <w:bookmarkEnd w:id="17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Judgements and estimates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requires management to make judgements, estimates and assumptions that affect the amounts reported for assets and liabilities at the balance sheet dates and the amounts reported for revenue and expenses during the year. The nature of estimations means that actual outcomes could differ from those estimates.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judgements have had the most material effect on the amounts recognized in the financial statements: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research and development expenses in the statement of operations in the period in which they are incurred. When development activities reach the advanced stage, as set out in the specific criteria of International Accounting Standard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there will be a requirement to capitalize such costs as intangible assets. Management will continue to exercise judgement in the appropriate treatment of research and development costs.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Significant judgement was required in determining the classification and fair value measurement of the pre-funded warrants, Series A warrants, and Series B warrants issued in connection with the registered direct offering in May 2025. Management concluded that the warrants should be classified as derivative financial liabilities under IAS 32, as they do not meet the “fixed-for-fixed” equity classification criteria. This is due to certain features such as reset mechanisms, the “zero exercise price” option attached to the warrants, and the fact that the warrants are denominated in U.S. dollars while the Company’s functional currency is pounds sterling.</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Management judgement is required to determine the amount of deferred tax assets that should be recognized, based upon the likely timing and level of future taxable profits. Further details are contained in Note 9.</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estimates have had the most material effect on the amounts recognized in the financial statements: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clinical trial expenses</w:t>
      </w:r>
    </w:p>
    <w:p>
      <w:pPr>
        <w:spacing w:after="0" w:line="121" w:lineRule="exact"/>
        <w:rPr>
          <w:sz w:val="20"/>
          <w:szCs w:val="20"/>
          <w:color w:val="auto"/>
        </w:rPr>
      </w:pPr>
    </w:p>
    <w:p>
      <w:pPr>
        <w:ind w:firstLine="508"/>
        <w:spacing w:after="0" w:line="26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may be required to estimate accrued or prepaid expenses related to our clinical trials. In order to obtain reasonable estimates, we review open contracts and master service agreements. In addition, we communicate with applicable personnel in order to identify services that have been performed, but for which we have not yet been invoiced, and services not yet performed for which we have been invoiced in advance. In most cases, our vendors provide us with monthly invoices in arrears for services performed. The following are examples of our accrued expenses:</w:t>
      </w:r>
    </w:p>
    <w:p>
      <w:pPr>
        <w:spacing w:after="0" w:line="68" w:lineRule="exact"/>
        <w:rPr>
          <w:sz w:val="20"/>
          <w:szCs w:val="20"/>
          <w:color w:val="auto"/>
        </w:rPr>
      </w:pPr>
    </w:p>
    <w:p>
      <w:pPr>
        <w:ind w:left="1020" w:hanging="503"/>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for services performed on clinical trials;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costs for activities at clinical trial investigator sites.</w:t>
      </w:r>
    </w:p>
    <w:p>
      <w:pPr>
        <w:spacing w:after="0" w:line="117" w:lineRule="exact"/>
        <w:rPr>
          <w:sz w:val="20"/>
          <w:szCs w:val="20"/>
          <w:color w:val="auto"/>
        </w:rPr>
      </w:pPr>
    </w:p>
    <w:p>
      <w:pPr>
        <w:ind w:right="60" w:firstLine="508"/>
        <w:spacing w:after="0" w:line="266" w:lineRule="auto"/>
        <w:rPr>
          <w:sz w:val="20"/>
          <w:szCs w:val="20"/>
          <w:color w:val="auto"/>
        </w:rPr>
      </w:pPr>
      <w:r>
        <w:rPr>
          <w:rFonts w:ascii="Times New Roman" w:cs="Times New Roman" w:eastAsia="Times New Roman" w:hAnsi="Times New Roman"/>
          <w:sz w:val="18"/>
          <w:szCs w:val="18"/>
          <w:color w:val="auto"/>
        </w:rPr>
        <w:t>Accruals for clinical trial expenses, including estimated amounts recognized consistent with the above policy, were £2.4 million at December 31, 2025 as compared to £4.9 million at December 31, 2024. This includes accruals for investigator fees of £2.4 million at December 31, 2025 as compared to £3.9 million at December 31, 2024.</w:t>
      </w:r>
    </w:p>
    <w:p>
      <w:pPr>
        <w:spacing w:after="0" w:line="68" w:lineRule="exact"/>
        <w:rPr>
          <w:sz w:val="20"/>
          <w:szCs w:val="20"/>
          <w:color w:val="auto"/>
        </w:rPr>
      </w:pPr>
    </w:p>
    <w:p>
      <w:pPr>
        <w:ind w:right="60" w:firstLine="508"/>
        <w:spacing w:after="0" w:line="266" w:lineRule="auto"/>
        <w:rPr>
          <w:sz w:val="20"/>
          <w:szCs w:val="20"/>
          <w:color w:val="auto"/>
        </w:rPr>
      </w:pPr>
      <w:r>
        <w:rPr>
          <w:rFonts w:ascii="Times New Roman" w:cs="Times New Roman" w:eastAsia="Times New Roman" w:hAnsi="Times New Roman"/>
          <w:sz w:val="18"/>
          <w:szCs w:val="18"/>
          <w:color w:val="auto"/>
        </w:rPr>
        <w:t>Prepayments for clinical trial expenses, including estimated amounts recognized consistent with the above policy, were £0.4 million at December 31, 2025 as compared to £0.4 million at December 31, 2024. These amounts include sums that are expected to be utilized over the period of the associated trials, which in some cases could be greater than one year.</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contracted manufacturing expenses</w:t>
      </w:r>
    </w:p>
    <w:p>
      <w:pPr>
        <w:spacing w:after="0" w:line="121" w:lineRule="exact"/>
        <w:rPr>
          <w:sz w:val="20"/>
          <w:szCs w:val="20"/>
          <w:color w:val="auto"/>
        </w:rPr>
      </w:pPr>
    </w:p>
    <w:p>
      <w:pPr>
        <w:ind w:right="20" w:firstLine="508"/>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may be required to estimate accrued or prepaid expenses related to our contracted manufacturing expenses. In order to obtain reasonable estimates, we review open contracts and master service agreements. In addition, we consult with applicable personnel in order to identify services that have been performed and which have not yet been invoiced, and services not yet performed for which we have been invoiced in advance.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121" w:lineRule="exact"/>
        <w:rPr>
          <w:sz w:val="20"/>
          <w:szCs w:val="20"/>
          <w:color w:val="auto"/>
        </w:rPr>
      </w:pPr>
    </w:p>
    <w:p>
      <w:pPr>
        <w:ind w:right="340" w:firstLine="508"/>
        <w:spacing w:after="0" w:line="282" w:lineRule="auto"/>
        <w:rPr>
          <w:sz w:val="20"/>
          <w:szCs w:val="20"/>
          <w:color w:val="auto"/>
        </w:rPr>
      </w:pPr>
      <w:r>
        <w:rPr>
          <w:rFonts w:ascii="Times New Roman" w:cs="Times New Roman" w:eastAsia="Times New Roman" w:hAnsi="Times New Roman"/>
          <w:sz w:val="18"/>
          <w:szCs w:val="18"/>
          <w:color w:val="auto"/>
        </w:rPr>
        <w:t>Accruals for contracted manufacturing expenses, including estimated amounts recognized consistent with the above policy, were £0.1 million at December 31, 2025 as compared to £0.1 million at December 31, 2024.</w:t>
      </w:r>
    </w:p>
    <w:p>
      <w:pPr>
        <w:spacing w:after="0" w:line="270" w:lineRule="exact"/>
        <w:rPr>
          <w:sz w:val="20"/>
          <w:szCs w:val="20"/>
          <w:color w:val="auto"/>
        </w:rPr>
      </w:pPr>
    </w:p>
    <w:p>
      <w:pPr>
        <w:ind w:right="640" w:firstLine="508"/>
        <w:spacing w:after="0" w:line="282" w:lineRule="auto"/>
        <w:rPr>
          <w:sz w:val="20"/>
          <w:szCs w:val="20"/>
          <w:color w:val="auto"/>
        </w:rPr>
      </w:pPr>
      <w:r>
        <w:rPr>
          <w:rFonts w:ascii="Times New Roman" w:cs="Times New Roman" w:eastAsia="Times New Roman" w:hAnsi="Times New Roman"/>
          <w:sz w:val="18"/>
          <w:szCs w:val="18"/>
          <w:color w:val="auto"/>
        </w:rPr>
        <w:t>Prepayments for contracted manufacturing expenses, including estimated amounts recognized consistent with the above policy, were £nil at December 31, 2025 as compared to £nil at December 31, 2024.</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Estimating fair value for share-based payment transactions requires determination of the most appropriate valuation model, which depends on the terms and conditions of the grant. This estimate also requires determination of the most appropriate inputs to the valuation model, including the expected life of the share option, historical volatility of the share price, dividend yield and assumptions about them, and the actual market value of an ordinary share in the Company at the date of grant. For the measurement of the fair value of equity-settled transactions at the grant date, the Company uses the Black-Scholes model. The assumptions used for estimating fair value for share-based payment transactions are detailed in Note 15.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comprise the financial statements of the Company and its subsidiaries.</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consolidated from the date on which the Company obtains control, and continue to be consolidated until the date when such control ceases. The financial statements of the subsidiaries are prepared for the same reporting period as the parent company, using consistent accounting policies. All intra-group balances, transactions, unrealized gains and losses resulting from intra-group transactions and dividends are eliminated in full.</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Assets, liabilities, income and expenses of a subsidiary acquired or disposed of during the year are included in the consolidated financial statements from the date the Company gains control until the date the Company ceases to control the subsidiary.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pounds sterling, which is also the parent company’s functional currency. For each group entity, the Company determines the functional currency and items included in the financial statements of each entity are measured using that functional currency.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13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Transactions in foreign currencies are initially recorded by the Company’s entities at their respective functional currency spot rates of exchange at the date the transaction first qualifies for recognition.</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Monetary assets and liabilities denominated in foreign currencies are translated at the functional currency spot rates of exchange at the reporting date. Differences arising on settlement or translation of monetary items are recognized in the consolidated statements of operations.</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Non-monetary items that are measured in terms of historical cost in a foreign currency are translated using the exchange rates at the dates of the initial transactions.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Group companies</w:t>
      </w:r>
    </w:p>
    <w:p>
      <w:pPr>
        <w:spacing w:after="0" w:line="13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On consolidation, the assets and liabilities of foreign operations are translated into pounds sterling at the rate of exchange prevailing at the reporting date and their statements of operations are translated at the average exchange rate for the financial period in which those transactions occur. The exchange differences arising on translation for consolidation are recognized in the consolidated statements of comprehensive income or loss.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6" w:name="page177"/>
    <w:bookmarkEnd w:id="1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in one operating segment. Operating segments are reported in a manner consistent with the internal reporting provided to the Company’s chief operating decision maker (“the CODM”). The Company’s CODM, its Chief Executive Officer, views the Company’s operations and manages its business as a single operating segment, which is the business of developing and commercializing ProTides for use in Oncology. The Company’s principal operations and decision-making functions are located in the United Kingdom from where global decisions are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issue expenses</w:t>
      </w:r>
    </w:p>
    <w:p>
      <w:pPr>
        <w:spacing w:after="0" w:line="13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Incremental costs incurred and directly attributable to the issuance of shares are deducted from the related proceeds of the issuance. The net amount is recorded as contributed shareholders’ equity in the period when such shares are issued. Costs that are not incremental and directly attributable to issuing new shares, are recorded as an expense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cost, net of accumulated depreciation and accumulated impairment losses, if any. There are no restrictions on title to assets nor equipment pledged as security for liabilities.</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is provided on property, plant and equipment over their expected useful economic life as follows:</w:t>
      </w:r>
    </w:p>
    <w:p>
      <w:pPr>
        <w:sectPr>
          <w:pgSz w:w="11900" w:h="16838" w:orient="portrait"/>
          <w:cols w:equalWidth="0" w:num="1">
            <w:col w:w="11200"/>
          </w:cols>
          <w:pgMar w:left="320" w:top="765" w:right="379" w:bottom="1440" w:gutter="0" w:footer="0" w:header="0"/>
        </w:sect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Asset class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Office and computer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Fixtures and fittings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method and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over 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over 5 years, or, for non-removable items, the remaining term of an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whichever is shorter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over the lease terms, or the estimated useful lives of the assets, whichever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w:t>
      </w:r>
    </w:p>
    <w:p>
      <w:pPr>
        <w:spacing w:after="0" w:line="200" w:lineRule="exact"/>
        <w:rPr>
          <w:sz w:val="20"/>
          <w:szCs w:val="20"/>
          <w:color w:val="auto"/>
        </w:rPr>
      </w:pPr>
    </w:p>
    <w:p>
      <w:pPr>
        <w:sectPr>
          <w:pgSz w:w="11900" w:h="16838" w:orient="portrait"/>
          <w:cols w:equalWidth="0" w:num="2">
            <w:col w:w="3700" w:space="720"/>
            <w:col w:w="6780"/>
          </w:cols>
          <w:pgMar w:left="320" w:top="765" w:right="37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accumulated impairment losses, if any. Cost in relation to patents includes registration, documentation and other legal fees associated with obtaining the patent. Computer software cost represents the initial purchase price of the asset.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amortization method and amortization period for the principal categories of intangible assets are follows:</w:t>
      </w:r>
    </w:p>
    <w:p>
      <w:pPr>
        <w:sectPr>
          <w:pgSz w:w="11900" w:h="16838" w:orient="portrait"/>
          <w:cols w:equalWidth="0" w:num="1">
            <w:col w:w="11200"/>
          </w:cols>
          <w:pgMar w:left="320" w:top="765" w:right="379" w:bottom="1440" w:gutter="0" w:footer="0" w:header="0"/>
          <w:type w:val="continuous"/>
        </w:sect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Asset class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Patents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Computer software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over 20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Straight-line between 3 and 5 years</w:t>
      </w:r>
    </w:p>
    <w:p>
      <w:pPr>
        <w:spacing w:after="0" w:line="200" w:lineRule="exact"/>
        <w:rPr>
          <w:sz w:val="20"/>
          <w:szCs w:val="20"/>
          <w:color w:val="auto"/>
        </w:rPr>
      </w:pPr>
    </w:p>
    <w:p>
      <w:pPr>
        <w:sectPr>
          <w:pgSz w:w="11900" w:h="16838" w:orient="portrait"/>
          <w:cols w:equalWidth="0" w:num="2">
            <w:col w:w="3700" w:space="720"/>
            <w:col w:w="6780"/>
          </w:cols>
          <w:pgMar w:left="320" w:top="765" w:right="379" w:bottom="1440" w:gutter="0" w:footer="0" w:header="0"/>
          <w:type w:val="continuous"/>
        </w:sectPr>
      </w:pPr>
    </w:p>
    <w:p>
      <w:pPr>
        <w:spacing w:after="0" w:line="1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primary patents each have a life of 20 years. Further patents are granted in various jurisdictions to extend the territorial coverage of the primary patent. These patents are granted up to the period of the related primary patent. Costs are amortized over the remaining life of the relevant primary patent. The amortization expense on intangible assets with finite lives is recognized in the statements of operations as an administrative expense. The amortization method and the amortization period for an intangible asset with a finite useful life are reviewed at least at each financial year end. Changes in the expected useful economic life or the expected pattern of consumption of future economic benefits embodied in the asset are accounted for by changing the amortization period or method, as appropriate.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are tested for impairment when there is an indicator of impairment.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and cash equivalents in the statement of financial position include cash at banks with deposit maturity terms of three months or less.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50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recognized in the statement of operations in the year in which they are incurred. Development expenditures on an individual project will be recognized as an intangible asset when the Company can demonstrate:</w:t>
      </w:r>
    </w:p>
    <w:p>
      <w:pPr>
        <w:spacing w:after="0" w:line="54" w:lineRule="exact"/>
        <w:rPr>
          <w:sz w:val="20"/>
          <w:szCs w:val="20"/>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feasibility of completing the intangible asset so that the asset will be available for use 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intention to complete and its ability and intention to use or sell the asset;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asset will generate future economic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resources to complete the asset;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measure reliably the expenditure during development.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Current income tax assets and liabilities are measured at the amount expected to be recovered from or paid to the taxation authorities. The tax rates and tax laws used to compute the amounts are those that are enacted or substantively enacted at the reporting date in the countries where the Company operates within the tax regime.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w:t>
      </w:r>
    </w:p>
    <w:p>
      <w:pPr>
        <w:spacing w:after="0" w:line="12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benefits from the U.K. and U.S. research and development tax credit regimes. In the United Kingdom, a portion of the Company’s losses can be surrendered for a cash rebate of up to 26.97% of eligible expenditures incurred on or after April 1, 2023 (33.35% prior to April 1, 2023). In the U.S. the Company is able to offset the research and development credits against corporation tax payable. Such credits are accounted for within the tax provision in the year in which the expenditures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That is, if the contract conveys the right to control the use of an identified asset for a period of time in exchange for consideration.</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applies a single recognition and measurement approach for all leases, except for short-term leases and leases of low-value assets. The Company recognizes lease liabilities to make lease payments and right of use assets representing the right to use the underlying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Right of use assets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right of use assets at the commencement date of the lease (i.e. the date the underlying asset is available for use). Right of use assets are measured at cost, less any accumulated depreciation and impairment losses, and adjusted for any remeasurement of lease liabilities. The cost of right of use assets includes the amount of lease liabilities recognized, initial direct costs incurred, and lease payments made at or before the commencement date less any lease incentives received. Right of use assets, which relate solely to office space, are depreciated on a straight-line basis over the shorter of the lease terms, or the estimated useful lives of the assets.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liability</w:t>
      </w:r>
    </w:p>
    <w:p>
      <w:pPr>
        <w:spacing w:after="0" w:line="121" w:lineRule="exact"/>
        <w:rPr>
          <w:sz w:val="20"/>
          <w:szCs w:val="20"/>
          <w:color w:val="auto"/>
        </w:rPr>
      </w:pPr>
    </w:p>
    <w:p>
      <w:pPr>
        <w:jc w:val="both"/>
        <w:ind w:right="160" w:firstLine="509"/>
        <w:spacing w:after="0" w:line="312" w:lineRule="auto"/>
        <w:rPr>
          <w:sz w:val="20"/>
          <w:szCs w:val="20"/>
          <w:color w:val="auto"/>
        </w:rPr>
      </w:pPr>
      <w:r>
        <w:rPr>
          <w:rFonts w:ascii="Times New Roman" w:cs="Times New Roman" w:eastAsia="Times New Roman" w:hAnsi="Times New Roman"/>
          <w:sz w:val="17"/>
          <w:szCs w:val="17"/>
          <w:color w:val="auto"/>
        </w:rPr>
        <w:t>At the commencement date of the lease, the Company recognizes a lease liability measured at the present value of lease payments to be made over the lease term. The lease payments include fixed payments less any lease incentives receivable, and any variable lease payments that depend on an index.</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calculating the present value of lease payments, the Company uses its incremental borrowing rate at the lease commencement date because the interest rate implicit in the lease is not readily determinable. After the commencement date, the amount of the lease liability is increased to reflect the accretion of interest and reduced for the lease payments made. In addition, the carrying amount of the lease liability is remeasured if there is a modification, a change in the lease term or a change in the lease payments.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had a number of lease contracts that include extension and termination options. The Company applies judgement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Company reassesses the lease term if there is a significant event or change in circumstances that is within its control and affects its ability to exercise or not to exercise the option to renew or to terminate, such as the construction of significant leasehold improvements.</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Refer to Note 16 for information on potential future rental payments relating to periods following the exercise date of extension options that are not included in the lease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Provisions are recognized when either a legal or constructive obligation as a result of a past event exists at the balance sheet date, it is probable that an outflow of economic resources will be required to settle the obligation and a reasonable estimate can be made of the amount of the obligation, even although the timing or amount of the liability is uncertain.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assesses, at each reporting date, whether there is an indication that an asset may be impaired. If any indication exists, the Company estimates the recoverable amount of the asset.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 impairment loss is recognized whenever the carrying amount of an asset or its cash-generating unit exceeds its recoverable amount. Impairment losses are recognized in the consolidated statements of operations.</w:t>
      </w:r>
    </w:p>
    <w:p>
      <w:pPr>
        <w:spacing w:after="0" w:line="2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cash-generating unit is the smallest identifiable group of assets that generates cash inflows that are largely independent of the cash inflows from other assets or groups of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Calculation of recoverable amount</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recoverable amount of assets and cash-generating units is the higher of their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an asset that does not generate largely independent cash inflows, the recoverable amount is determined for the cash-generating unit to which the asset belongs.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9" w:name="page180"/>
    <w:bookmarkEnd w:id="1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Reversal of impairment</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 assessment is made at each reporting date as to whether there is an indication that a previously recognized impairment loss may no longer exist or may have decreased. If such an indication exists, the recoverable amount is estimated.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previously recognized impairment loss is reversed only if there has been a change in the estimates used to determine the recoverable amount since the last impairment loss was recognized. If that is the case, the carrying value is increased to its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Employees, directors and consultants of the Company receive remuneration in the form of share options, whereby individuals render services as consideration for equity instruments and the cost is recognized as share-based payments under IFRS 2.</w:t>
      </w:r>
    </w:p>
    <w:p>
      <w:pPr>
        <w:spacing w:after="0" w:line="187"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Under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equity share-based payments are measured at the fair value of the equity instruments at the grant date. Details regarding the determination of fair value of equity settled share-based transactions are set out in Note 15.</w:t>
      </w:r>
    </w:p>
    <w:p>
      <w:pPr>
        <w:spacing w:after="0" w:line="16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fair value determined at the grant date of equity settled share-based payments, after adjusting for an assumed forfeiture rate, is expensed on a straight-line basis over the vesting period, with a corresponding increase in equity to the share option reserve.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financial assets and liabilities is included at the amount at which an instrument could be exchanged in a current transaction between willing parties, other than in a forced liquidation or sale.</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IFRS 13 establishes a fair value hierarchy that prioritizes observable and unobservable inputs used to measure fair value into three broad levels, which are described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(unadjusted)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Other techniques for which all inputs that have a significant effect on the recorded fair value are observable, either directly or indirectly.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Techniques that use inputs that have a significant effect on the recorded fair value that are not based on observable market data.</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other receivables, and trade payables approximate their carrying amounts largely due to the short-term maturities of these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liabilities – Warrants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Warrants issued by the Company in connection with the registered direct offering in May 2025 are classified as derivative financial liabilities when they do not meet the criteria for equity classification under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In particular, the warrants issued in May 2025 contained terms such as an exercise price denominated in US dollars, price reset features, and a “zero exercise price” and “cashless exercise” option. These features result in the warrants not meeting the “fixed-for-fixed” requirement for equity classification, and therefore they are accounted for as derivative financial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Material accounting policies (continued)</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Derivative financial liabilities are initially recognized at fair value on the date of issuance. Transaction costs directly attributable to the issuance of financial liabilities measured at fair value through profit or loss are expensed immediately in the consolidated statements of operations. Warrants are subsequently re-measured at fair value at each reporting date, with changes in fair value recognized as a gain or loss within the consolidated statements of operations.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warrants that are exercised, the liability is firstly re-measured at fair value immediately prior to exercise with the change in fair value recognized as a gain or loss within the consolidated statements of operations. The liability is then derecognized, and the corresponding amount credited to equity. Amounts above the nominal value of the shares issued are credited to share premium. Where warrants are cancelled for cash, the liability is derecognized upon settlement and the cash payment recognized as an extinguishment of the liability.</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warrants is determined using appropriate valuation techniques, which may include observable market data where available or option pricing models such as Black-Scholes, depending on the terms of the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ADR depository contributions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participates in an American Depository Receipts ("ADR") program as part of its Nasdaq listing. Under the terms of the program, the depositary may reimburse the Company for certain program-related expenses by making available a portion of the ADS fees charged to ADR holders or otherwise, upon such terms as agreed between the Company and the depositary. Contributions received from the depositary are recognized as income when the Company becomes entitled to receive them, measured at the spot exchange rate on the date of recognition in accordance with IAS 21. The contribution received in 2025 relating to the ADS ratio change in August 2025 is classified as other income within the statement of operations, as it did not represent revenue from ordinary activities and it was not a direct reimbursement of specific invoices. The Company’s ordinary share capital was unaffected by the ratio change and the ratio change had no impact on an ADS holder’s proportional equity interest in the Company and is not considered to be an equity contribution from ADS holders. The Company has additionally considered the potential for any repayment of the contribution received to be remote based on its interpretation of the agreements in place.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proceeds</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is the policyholder and beneficiary of a key person insurance policy. Proceeds received under the policy are recognized as income when realization is virtually certain, in line with IAS 37. Such proceeds are presented as other income given their non-recurring nature. Any interest element included in the settlement is presented separately as finance income in accordance with IFRS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229"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preparing these financial statements, the Company has applied all relevant IAS, IFRS and International Financial Reporting Interpretations Committee (“IFRIC”) Interpretations as of the date of approval of these financial statements and which are mandatory for the financial year ended December 31, 2025.</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amendment has been adopted as of January 1, 2025 in these financial statements:</w:t>
      </w:r>
    </w:p>
    <w:p>
      <w:pPr>
        <w:spacing w:after="0" w:line="115" w:lineRule="exact"/>
        <w:rPr>
          <w:sz w:val="20"/>
          <w:szCs w:val="20"/>
          <w:color w:val="auto"/>
        </w:rPr>
      </w:pPr>
    </w:p>
    <w:p>
      <w:pPr>
        <w:ind w:left="760" w:hanging="378"/>
        <w:spacing w:after="0"/>
        <w:tabs>
          <w:tab w:leader="none" w:pos="7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IAS 21 Lack of Exchangeability (effective from January 1, 2025)</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concluded that this amendment did not have a material impact on the Company’s accounts in the period of initial application, but may impact the accounting for future transactions.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IASB and IFRIC have issued the following standards and amendments with an effective date after the date of these financial statements:</w:t>
      </w:r>
    </w:p>
    <w:p>
      <w:pPr>
        <w:spacing w:after="0" w:line="115" w:lineRule="exact"/>
        <w:rPr>
          <w:sz w:val="20"/>
          <w:szCs w:val="20"/>
          <w:color w:val="auto"/>
        </w:rPr>
      </w:pPr>
    </w:p>
    <w:p>
      <w:pPr>
        <w:ind w:left="760" w:hanging="378"/>
        <w:spacing w:after="0"/>
        <w:tabs>
          <w:tab w:leader="none" w:pos="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IFRS 18 Presentation and Disclosures in Financial Statements (effective from January 1, 2027)</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IFRS 19 Subsidiaries without Public Accountability: Disclosures (effective from January 1, 2027)</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32" w:lineRule="exact"/>
        <w:rPr>
          <w:sz w:val="20"/>
          <w:szCs w:val="20"/>
          <w:color w:val="auto"/>
        </w:rPr>
      </w:pPr>
    </w:p>
    <w:p>
      <w:pPr>
        <w:ind w:left="180" w:hanging="172"/>
        <w:spacing w:after="0"/>
        <w:tabs>
          <w:tab w:leader="none" w:pos="1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 (continued)</w:t>
      </w:r>
    </w:p>
    <w:p>
      <w:pPr>
        <w:spacing w:after="0" w:line="119"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IFRS 9 and IFRS 7 regarding the classification and measurement of financial instruments (effective from January 1,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IFRS 9 and IFRS 7 - Contracts Referencing Nature-dependent Electricity (effective from January 1,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IFRS 19 Subsidiaries without Public Accountability: Disclosures (effective from January 1, 2027)</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IAS 21 - Translation to a Hyperinflationary Presentation Currency (effective from January 1, 2027)</w:t>
      </w:r>
    </w:p>
    <w:p>
      <w:pPr>
        <w:spacing w:after="0" w:line="200" w:lineRule="exact"/>
        <w:rPr>
          <w:sz w:val="20"/>
          <w:szCs w:val="20"/>
          <w:color w:val="auto"/>
        </w:rPr>
      </w:pPr>
    </w:p>
    <w:p>
      <w:pPr>
        <w:spacing w:after="0" w:line="243"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color w:val="auto"/>
        </w:rPr>
        <w:t>The Company will adopt the above standards and amendments on their effective date. The Company has reviewed the above standards and amendments and considers that, other than IFRS 18, they either do not apply to the Company or will not have a material impact in future periods. IFRS 18 introduces new requirements for the presentation and disclosure of financial information, and the Company is in the process of evaluating the potential impact of its adoption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82" w:name="page183"/>
    <w:bookmarkEnd w:id="182"/>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Staff costs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Included in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costs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10,822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5,153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i w:val="1"/>
                <w:iCs w:val="1"/>
                <w:color w:val="auto"/>
              </w:rPr>
              <w:t>Included in administrative expenses: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costs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employee benefit expense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15,056</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7,025</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10,819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average number of staff employed under contracts of service were:</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0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activities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activities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remuneration &amp; other benefits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benefits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1,319</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-2322195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-2305050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-2322195</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-2305050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-2322195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-2305050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-1268095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-1250950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-1268095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-1250950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-1268095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-1250950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9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directors who exercised share options in 2025 was 1 (2024: 2; 2023: 2). The gain on exercise of these options was £nil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2023: £8,000).</w:t>
      </w: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5" w:right="899" w:bottom="1440" w:gutter="0" w:footer="0" w:header="0"/>
        </w:sectPr>
      </w:pPr>
    </w:p>
    <w:bookmarkStart w:id="183" w:name="page184"/>
    <w:bookmarkEnd w:id="18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Staff costs (continued)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above amounts for remuneration include the following in respect of the highest paid director: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200" w:type="dxa"/>
            <w:vAlign w:val="bottom"/>
            <w:gridSpan w:val="2"/>
          </w:tcPr>
          <w:p>
            <w:pPr>
              <w:spacing w:after="0"/>
              <w:rPr>
                <w:sz w:val="15"/>
                <w:szCs w:val="15"/>
                <w:color w:val="auto"/>
              </w:rPr>
            </w:pPr>
          </w:p>
        </w:tc>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CFF0FC"/>
            </w:tcBorders>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c>
          <w:tcPr>
            <w:tcW w:w="13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28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other benefits</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gridSpan w:val="2"/>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gridSpan w:val="2"/>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Borders>
              <w:right w:val="single" w:sz="8" w:color="CFF0FC"/>
            </w:tcBorders>
          </w:tcPr>
          <w:p>
            <w:pPr>
              <w:spacing w:after="0"/>
              <w:rPr>
                <w:sz w:val="21"/>
                <w:szCs w:val="21"/>
                <w:color w:val="auto"/>
              </w:rPr>
            </w:pPr>
          </w:p>
        </w:tc>
        <w:tc>
          <w:tcPr>
            <w:tcW w:w="50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1,091</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661</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11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974</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Other income</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1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18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Insurance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ADR depositary contribution</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-1893570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-1877060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-1893570</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-1877060</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-1893570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-1877060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Insurance proceeds represent a one-off payout under a key person policy and is presented within operating loss in the statement of operations. ADR depositary contribution relates to an amount received from the ADR depositary in relation to the ADS ratio change completed in August 2025 and is presented within loss before tax in the statement of operations. The ADR depositary contribution represents a cash receipt received from the ADR depositary.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Finance expense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1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1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Revaluation loss from derivative financial instruments</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(12,648)</w:t>
            </w: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(12,648)</w:t>
            </w: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-170815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non-cash revaluation loss from derivative financial instruments of £12.6 million relates to the fair value remeasurement of Series A and Series B warrants, as set out in Note 20.</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Basic and diluted loss per ordinary share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220" w:type="dxa"/>
            <w:vAlign w:val="bottom"/>
            <w:gridSpan w:val="5"/>
          </w:tcPr>
          <w:p>
            <w:pPr>
              <w:ind w:left="8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80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(29,353)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(18,997)</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ordinary shares</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11,231,520</w:t>
            </w: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52,573</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ordinary share</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(0.26)</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-556895</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-556895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-556895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Basic loss per ordinary share is calculated by dividing the loss for the year attributable to the equity holders of the Company by the weighted average number of ordinary shares outstanding during the year.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potential ordinary shares issued through equity-settled transactions were considered to be anti-dilutive as they would have decreased the loss per ordinary share and were therefore excluded from the calculation of diluted loss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before tax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 before tax is stated after charging:</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ind w:right="7980" w:firstLine="8"/>
        <w:spacing w:after="0" w:line="375" w:lineRule="auto"/>
        <w:tabs>
          <w:tab w:leader="none" w:pos="1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commitments and contingencies Other commitments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Cardiff University License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August 2009, we entered into a research, collaboration and license agreement with Cardiff University and University College Cardiff Consultants Ltd., or Cardiff Consultants, which we refer to as the Cardiff Agreement. The Cardiff Agreement was subsequently renewed and expired at the end of March 31, 2022.</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Prior to the expiration of the Cardiff Agreement, we notified Cardiff University and Cardiff Consultants regarding our selected ProTides for potential development of commercial products. Pursuant to the terms set out in the Cardiff Agreement, Cardiff University and Cardiff Consultants have granted us an exclusive worldwide license to use for all purposes the Cardiff intellectual property in respect of the nucleoside family of our selected ProTides. This license survives expiration of the Cardiff Agreement. During the license period Cardiff University and Cardiff Consultants may not undertake any research for any competing third party on nucleoside families of interest to us where such research would make use of the Cardiff intellectual property, or to grant rights in the Cardiff intellectual property to any third party for use in connection with nucleosides of interest to us.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our filing, or that of a sublicensee, of patent applications resulting from research under the Cardiff Agreement, we will owe Cardiff Consultants certain immaterial payments. If we or our sublicensees develop and commercialize a product resulting from such research, we will owe Cardiff Consultants clinical development milestone payments of up to £1,875,000, provided that such milestone payments are due only with respect to the first product within each nucleoside family to achieve the milestone. We will also owe Cardiff Consultants royalties equal to a low-single digit percentage on our sales of a product resulting from such research. Should we sublicense our right to commercialize a product resulting from the research, we will owe Cardiff Consultants a high-single digit percentage of payments received in consideration of the sublicense.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Cardiff ProTides Agreement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2009, we entered into a license and collaboration agreement with Cardiff ProTides Ltd., or Cardiff ProTides, which agreement was subsequently amended and restated as an assignment, license and collaboration agreement in March 2012 and was further amended in May 2012, which we refer to as the ProTides Agreement. Under the ProTides Agreement, we collaborated with Cardiff ProTides in the discovery, drug design and in vitro screening of purine and pyrimidine-based nucleosides as potential drug candidates. We funded certain work at Cardiff ProTides, and Cardiff ProTides has assigned to us all rights in the results of its research under the ProTides Agreement. Cardiff ProTides also assigned to us patents related to certain compounds of interest, including with respect to Acelarin, and granted us an exclusive, worldwide license, including the right to grant sublicenses, to rights in and technical information related to certain unpatented compounds for all therapeutic, diagnostic, prognostic and prophylactic applications.</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or a sublicensee develop one or more products covered by a valid claim of an assigned patent or patent resulting from Cardiff ProTides’ research, such as Acelarin, we will owe Cardiff ProTides up to approximately $4.5 million in development and approval milestone payments in the aggregate for the first such product. Additional development and approval milestones would be payable for the first additional product in a new nucleoside series covered by a valid claim of an assigned patent or a patent resulting from Cardiff ProTides’ research, although the maximum potential value of such milestone payments is approximately half the value of the milestone payments associated with the first product. We will also owe Cardiff ProTides royalties equal to a percentage in mid- to high-single digits on sales of such products, subject to reduction under certain circumstances. Royalties on sales by sublicensees are set by formula, which formula would be likely to result in a royalty in the mid-single digits.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Capital commitments and contingencies (continued)</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ProTides Agreement expires, on a country-by-country basis, on the later of the expiration, invalidity, abandonment, lapsing or rejection of the last valid claim of an assigned patent or patent resulting from Cardiff ProTides’ research, or, if certain technical information licensed from Cardiff ProTides remains confidential or the product is covered by a period of data exclusivity, ten years from the date of first commercial sale of a product in such country. The ProTides Agreement may be sooner terminated on an uncured material breach, bankruptcy of a party or, by Cardiff ProTides, if we challenge, or assist in a challenge, of the validity or ownership of an assigned patent or patent resulting from Cardiff ProTides’ research, or fail to pay amounts payable under the ProTides Agreement. It may also be sooner terminated where sums payable by us remain unpaid for 45 days after we receive a notice from Cardiff ProTides that the relevant sums are overdue. Upon a termination of the ProTides Agreement, our license rights will terminate except where the breach results from certain breaches by Cardiff ProTides, in which case our license rights continue on a non-exclusive basis, subject to reduced payment obligations. Upon termination of the ProTides Agreement, including as a result of our breach, we will be under an obligation to assign back to Cardiff ProTides the patents which Cardiff ProTides originally assigned to us.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 and manufacturing commitments</w:t>
      </w:r>
    </w:p>
    <w:p>
      <w:pPr>
        <w:spacing w:after="0" w:line="13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have agreed to make payments to CROs and manufacturers under various CRO and manufacturing agreements. We have not included further details on such contingent payment obligations as the amount, timing and likelihood of such payments are not fixed or determinable.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contingent liabilities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U.K. share-based payment plan, the Company granted unapproved share options that have fully vested. If and when these share options are exercised, the Company will be liable for the Employer Class 1 National Insurance payable to HMRC in the U.K. This contingent liability will be determined based on the market value of the shares on exercise less the exercise price paid by the option holders, at the prevailing rate of Employer National Insurance (currently 15%). Based on the closing share price of ADSs on the Nasdaq Capital Market on December 31, 2025, the last trading day of the period to which these financial statements relate, and assuming full exercise of all outstanding and vested unapproved share options on that date, the Employer National Insurance contingent liability would have been £27,000 (December 31, 2024: £nil).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 credit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major components of income tax for the years ended December 31, 2025, 2024 and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gridSpan w:val="2"/>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6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0"/>
                <w:szCs w:val="10"/>
                <w:color w:val="auto"/>
              </w:rPr>
            </w:pPr>
          </w:p>
        </w:tc>
        <w:tc>
          <w:tcPr>
            <w:tcW w:w="10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tax:</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respect of current year U.K.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1,279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 respect of current year U.S.</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prior years U.K.</w:t>
            </w: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tax</w:t>
            </w: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1,156</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respect of current year 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respect of prior years U.S.</w:t>
            </w: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credit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1,168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 receivable: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U.K. tax</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1,759</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tax</w:t>
            </w: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income tax receivable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1,761</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4,594</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5,123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24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tc>
        <w:tc>
          <w:tcPr>
            <w:tcW w:w="6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tax</w:t>
            </w: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1140" w:type="dxa"/>
            <w:vAlign w:val="bottom"/>
          </w:tcPr>
          <w:p>
            <w:pPr>
              <w:spacing w:after="0"/>
              <w:rPr>
                <w:sz w:val="24"/>
                <w:szCs w:val="24"/>
                <w:color w:val="auto"/>
              </w:rPr>
            </w:pPr>
          </w:p>
        </w:tc>
        <w:tc>
          <w:tcPr>
            <w:tcW w:w="592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F-22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-3171190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-3171190</wp:posOffset>
            </wp:positionV>
            <wp:extent cx="59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-3171190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-2613660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-2613660</wp:posOffset>
            </wp:positionV>
            <wp:extent cx="59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-2613660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-2322195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-2322195</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-2322195</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-1473835</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-1473835</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-1473835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-1190625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-1190625</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-1190625</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 credit (continued)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credit for the year can be reconciled to the loss per the statement of operations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1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0"/>
                <w:szCs w:val="10"/>
                <w:color w:val="auto"/>
              </w:rPr>
            </w:pPr>
          </w:p>
        </w:tc>
        <w:tc>
          <w:tcPr>
            <w:tcW w:w="10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(30,521)</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(22,451)</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(32,030)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Tax on loss at standard U.K. tax rate of 25% (2024: 25%; 2023:</w:t>
            </w: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23.52%)</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Effects of:</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not deductible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Deduction for R&amp;D</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Losses surrendered for R&amp;D tax credit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 prior year adjustment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Overseas tax payable - current year</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tax credit - U.S.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R&amp;D tax credit - current year</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tax credit - additional 86% tax deduction for R&amp;D</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(2,863)</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R&amp;D tax credit - losses utilized at 14.5% for R&amp;D tax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tax credit - prior years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credit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(1,168)</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(3,454)</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-2099310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-2099310</wp:posOffset>
            </wp:positionV>
            <wp:extent cx="59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-2099310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the United Kingdom, the Company has not recognized a deferred tax asset in respect of tax losses carried forward or temporary differences on share-based compensation arrangements as at December 31, 2024 on the basis that the timing during which tax losses or temporary differences could be regarded as recoverable against future taxable profits cannot be determined with reasonable certainty. In the United States, a deferred tax asset, which relates to research and development tax credits, has been recognized to the extent that management consider that adequate future taxable profits will be available to realize the deferred tax asset.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Temporary differences and cumulative carry forward tax losses for which deferred tax has not been recognized amount to £120.9 million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£104.2 million; 2023: £99.1 million), comprising temporary differences on share-based compensation arrangements of £0.2 million (2024: £nil; 2023: £0.6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cumulative carry forward tax losses of £120.7 million (2024: £104.2 million; 2023: £98.5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89" w:name="page190"/>
    <w:bookmarkEnd w:id="18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2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8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2"/>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gridSpan w:val="2"/>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2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2,198</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-2691130</wp:posOffset>
            </wp:positionV>
            <wp:extent cx="603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-2691130</wp:posOffset>
            </wp:positionV>
            <wp:extent cx="596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-2691130</wp:posOffset>
            </wp:positionV>
            <wp:extent cx="514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-1842135</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-1842135</wp:posOffset>
            </wp:positionV>
            <wp:extent cx="596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-1842135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-1285240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-1285240</wp:posOffset>
            </wp:positionV>
            <wp:extent cx="596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-1285240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-719455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-719455</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-719455</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-153670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-153670</wp:posOffset>
            </wp:positionV>
            <wp:extent cx="596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 of</w:t>
            </w:r>
          </w:p>
        </w:tc>
        <w:tc>
          <w:tcPr>
            <w:tcW w:w="1020" w:type="dxa"/>
            <w:vAlign w:val="bottom"/>
            <w:gridSpan w:val="3"/>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Office and</w:t>
            </w:r>
          </w:p>
        </w:tc>
        <w:tc>
          <w:tcPr>
            <w:tcW w:w="8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3"/>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computer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 assets</w:t>
            </w:r>
          </w:p>
        </w:tc>
        <w:tc>
          <w:tcPr>
            <w:tcW w:w="16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fittings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20" w:type="dxa"/>
            <w:vAlign w:val="bottom"/>
            <w:gridSpan w:val="2"/>
            <w:vMerge w:val="restart"/>
          </w:tcPr>
          <w:p>
            <w:pPr>
              <w:jc w:val="center"/>
              <w:ind w:lef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1100" w:type="dxa"/>
            <w:vAlign w:val="bottom"/>
            <w:gridSpan w:val="5"/>
          </w:tcPr>
          <w:p>
            <w:pPr>
              <w:jc w:val="right"/>
              <w:ind w:right="495"/>
              <w:spacing w:after="0" w:line="118" w:lineRule="exact"/>
              <w:rPr>
                <w:sz w:val="20"/>
                <w:szCs w:val="20"/>
                <w:color w:val="auto"/>
              </w:rPr>
            </w:pPr>
            <w:r>
              <w:rPr>
                <w:rFonts w:ascii="Times New Roman" w:cs="Times New Roman" w:eastAsia="Times New Roman" w:hAnsi="Times New Roman"/>
                <w:sz w:val="13"/>
                <w:szCs w:val="13"/>
                <w:b w:val="1"/>
                <w:bCs w:val="1"/>
                <w:color w:val="auto"/>
                <w:w w:val="82"/>
              </w:rPr>
              <w:t>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5"/>
                <w:szCs w:val="15"/>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differences</w:t>
            </w:r>
          </w:p>
        </w:tc>
        <w:tc>
          <w:tcPr>
            <w:tcW w:w="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differences</w:t>
            </w:r>
          </w:p>
        </w:tc>
        <w:tc>
          <w:tcPr>
            <w:tcW w:w="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w:t>
            </w:r>
          </w:p>
        </w:tc>
        <w:tc>
          <w:tcPr>
            <w:tcW w:w="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1,094</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Prepayments, accrued income and other receivables</w:t>
            </w:r>
          </w:p>
        </w:tc>
        <w:tc>
          <w:tcPr>
            <w:tcW w:w="6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 manufacturing and clinical</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 other</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5"/>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Borders>
              <w:top w:val="single" w:sz="8" w:color="CFF0FC"/>
            </w:tcBorders>
          </w:tcPr>
          <w:p>
            <w:pPr>
              <w:spacing w:after="0"/>
              <w:rPr>
                <w:sz w:val="18"/>
                <w:szCs w:val="18"/>
                <w:color w:val="auto"/>
              </w:rPr>
            </w:pPr>
          </w:p>
        </w:tc>
        <w:tc>
          <w:tcPr>
            <w:tcW w:w="68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2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80" w:type="dxa"/>
            <w:vAlign w:val="bottom"/>
            <w:tcBorders>
              <w:top w:val="single" w:sz="8" w:color="CFF0FC"/>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8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color w:val="auto"/>
              </w:rPr>
              <w:t>F-25</w:t>
            </w: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-5974080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-5974080</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-5974080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-5974080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-5133975</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-5133975</wp:posOffset>
            </wp:positionV>
            <wp:extent cx="51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-5133975</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-5133975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-4293870</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-4293870</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-4293870</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-4293870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-3728085</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-3728085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-3728085</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-3728085</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-3162300</wp:posOffset>
            </wp:positionV>
            <wp:extent cx="514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-3162300</wp:posOffset>
            </wp:positionV>
            <wp:extent cx="51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-3162300</wp:posOffset>
            </wp:positionV>
            <wp:extent cx="514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-3162300</wp:posOffset>
            </wp:positionV>
            <wp:extent cx="514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-1207770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-1207770</wp:posOffset>
            </wp:positionV>
            <wp:extent cx="431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capital and share premium</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2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gridSpan w:val="2"/>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13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175,246</w:t>
            </w:r>
          </w:p>
        </w:tc>
        <w:tc>
          <w:tcPr>
            <w:tcW w:w="220" w:type="dxa"/>
            <w:vAlign w:val="bottom"/>
            <w:gridSpan w:val="2"/>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146,146</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189,586</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151,827</w:t>
            </w: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143,420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84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 value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0"/>
                <w:szCs w:val="10"/>
                <w:color w:val="auto"/>
              </w:rPr>
            </w:pP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Nominal value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Nominal value</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Issued share capital comprises: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£0.0004</w:t>
            </w:r>
          </w:p>
        </w:tc>
        <w:tc>
          <w:tcPr>
            <w:tcW w:w="1360" w:type="dxa"/>
            <w:vAlign w:val="bottom"/>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£0.04</w:t>
            </w:r>
          </w:p>
        </w:tc>
        <w:tc>
          <w:tcPr>
            <w:tcW w:w="144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£0.04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20,809,855</w:t>
            </w:r>
          </w:p>
        </w:tc>
        <w:tc>
          <w:tcPr>
            <w:tcW w:w="13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142,037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15,040,466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35,850,321</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142,037</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52,860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-1113790</wp:posOffset>
            </wp:positionV>
            <wp:extent cx="60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-1096645</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-1113790</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-1096645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-1113790</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3"/>
                <w:szCs w:val="13"/>
                <w:color w:val="auto"/>
              </w:rPr>
            </w:pPr>
          </w:p>
        </w:tc>
        <w:tc>
          <w:tcPr>
            <w:tcW w:w="12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 share</w:t>
            </w:r>
          </w:p>
        </w:tc>
        <w:tc>
          <w:tcPr>
            <w:tcW w:w="220" w:type="dxa"/>
            <w:vAlign w:val="bottom"/>
          </w:tcPr>
          <w:p>
            <w:pPr>
              <w:spacing w:after="0"/>
              <w:rPr>
                <w:sz w:val="13"/>
                <w:szCs w:val="13"/>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ordinary shares</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deferred shares</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Fully paid shares: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89,028</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142,037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 issue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8"/>
              </w:rPr>
              <w:t>Balance pre-subdivision and reclassification</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151,924</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Sub-division and reclassification of share</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15,040,466</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 of share capital</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11,330,287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9,327,644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issue expenses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20,809,855</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15,040,466</w:t>
            </w:r>
          </w:p>
        </w:tc>
        <w:tc>
          <w:tcPr>
            <w:tcW w:w="20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8,324</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6,016</w:t>
            </w:r>
          </w:p>
        </w:tc>
        <w:tc>
          <w:tcPr>
            <w:tcW w:w="22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175,246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-153670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-153670</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-153670</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-153670</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-153670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On April 23, 2025, the Company subdivided and redesignated the issued share capital of 151,923,897 ordinary shares of £0.04 each into 151,923,897 ordinary shares and 15,040,465,803 deferred shares, in each case, of £0.0004 each. The deferred shares have no economic value, dividend or voting rights. Holders of ordinary shares are entitled to one vote for each share held of record on all matters submitted to a vote of shareholders and do not have cumulative voting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the purpose of the Company’s capital management, capital includes issued capital, share premium and all other equity reserves attributable to the equity holders of the Company. The purpose of the Company’s capital management is to maximize shareholder value and ensure adequate capital is available to meet the medium-term operating plan. Review of operations and commitments is key to identifying future capital management and a full review is undertaken on a quarterly basis.</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 changes were made in the objectives, policies or processes for managing capital during the years ended December 31, 2025, 2024 or 2023.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92" w:name="page193"/>
    <w:bookmarkEnd w:id="1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reserves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Own share reserve</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42,466</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42,466</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reserve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37,043</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share options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of share options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(1,270)</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(2,083)</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r>
      <w:tr>
        <w:trPr>
          <w:trHeight w:val="209"/>
        </w:trPr>
        <w:tc>
          <w:tcPr>
            <w:tcW w:w="20" w:type="dxa"/>
            <w:vAlign w:val="bottom"/>
          </w:tcPr>
          <w:p>
            <w:pPr>
              <w:spacing w:after="0"/>
              <w:rPr>
                <w:sz w:val="18"/>
                <w:szCs w:val="18"/>
                <w:color w:val="auto"/>
              </w:rPr>
            </w:pPr>
          </w:p>
        </w:tc>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20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37,043</w:t>
            </w:r>
          </w:p>
        </w:tc>
        <w:tc>
          <w:tcPr>
            <w:tcW w:w="80" w:type="dxa"/>
            <w:vAlign w:val="bottom"/>
            <w:tcBorders>
              <w:top w:val="single" w:sz="8" w:color="CFF0FC"/>
            </w:tcBorders>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reserves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87,075</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78,421</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79,173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-316230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-316230</wp:posOffset>
            </wp:positionV>
            <wp:extent cx="596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reserve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reserve is used to record exchange differences arising from the translation of the financial statements of foreign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 share reserve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own share reserve represents the cost of 500,000 ordinary shares of NuCana plc purchased by NuCana Employee Benefit Trust and that may, at the discretion of the trustee, be used to satisfy future exercise of options under the Company’s share options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reserve</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capital reserve balance arose from the reduction of the share premium account and corresponding increase to the capital reserve account reflected as of June 30, 2017 in connection with the Company’s re-registration as a public limited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reserve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share option reserve is used to recognize the value of equity-settled share-based payments provided to employees, directors and consultants as part of their remuneration. Refer to Note 15 for further details.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93" w:name="page194"/>
    <w:bookmarkEnd w:id="19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payments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has six share-based payment plans for employees, directors and consultants. The share options granted under these plans will be settled in equity. Options granted under each of the six plans have a maximum life of 10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2024 and 2025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2023, 2024 and 2025, share options were granted under the following share-based payment plans: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Share Option Scheme and 2020 Long-Term Incentive Plan</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Options granted under these plans will vest if the option holder remains under their respective contract of employment or contract of service for the agreed vesting period. The share options granted under this plan will vest over a period of up to four years.</w:t>
      </w:r>
    </w:p>
    <w:p>
      <w:pPr>
        <w:spacing w:after="0" w:line="162" w:lineRule="exact"/>
        <w:rPr>
          <w:sz w:val="20"/>
          <w:szCs w:val="20"/>
          <w:color w:val="auto"/>
        </w:rPr>
      </w:pPr>
    </w:p>
    <w:p>
      <w:pPr>
        <w:jc w:val="both"/>
        <w:ind w:right="40" w:firstLine="508"/>
        <w:spacing w:after="0" w:line="266" w:lineRule="auto"/>
        <w:rPr>
          <w:sz w:val="20"/>
          <w:szCs w:val="20"/>
          <w:color w:val="auto"/>
        </w:rPr>
      </w:pPr>
      <w:r>
        <w:rPr>
          <w:rFonts w:ascii="Times New Roman" w:cs="Times New Roman" w:eastAsia="Times New Roman" w:hAnsi="Times New Roman"/>
          <w:sz w:val="18"/>
          <w:szCs w:val="18"/>
          <w:color w:val="auto"/>
        </w:rPr>
        <w:t>Upon vesting, each option allows the holder to purchase one ordinary share at a specified option price determined at grant date. Options granted as RSU-style options are automatically exercised on vesting. If the Company determines, and at its discretion, an arrangement may be made under the 2020 Long-Term Incentive Plan to substitute the right to acquire shares with a cash alternative of equivalent value.</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 options and weighted average exercise prices are as follows for the reporting periods presented: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11,721,676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2,733,139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(97,180)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(253,454)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4"/>
                <w:szCs w:val="24"/>
                <w:color w:val="auto"/>
                <w:vertAlign w:val="superscript"/>
              </w:rPr>
              <w:t>1</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(102,957)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14,001,224</w:t>
            </w:r>
          </w:p>
        </w:tc>
        <w:tc>
          <w:tcPr>
            <w:tcW w:w="18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6,273,782</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(2,121,862)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(812,004)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4"/>
                <w:szCs w:val="24"/>
                <w:color w:val="auto"/>
                <w:vertAlign w:val="superscript"/>
              </w:rPr>
              <w:t>2</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(165,836)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17,175,304</w:t>
            </w:r>
          </w:p>
        </w:tc>
        <w:tc>
          <w:tcPr>
            <w:tcW w:w="1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3,478,076,732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(54,370,598)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(14,380,933)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(460,693)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4"/>
                <w:szCs w:val="24"/>
                <w:color w:val="auto"/>
                <w:vertAlign w:val="superscript"/>
              </w:rPr>
              <w:t>3</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Outstanding at December 31, 2025</w:t>
            </w:r>
            <w:r>
              <w:rPr>
                <w:rFonts w:ascii="Times New Roman" w:cs="Times New Roman" w:eastAsia="Times New Roman" w:hAnsi="Times New Roman"/>
                <w:sz w:val="24"/>
                <w:szCs w:val="24"/>
                <w:b w:val="1"/>
                <w:bCs w:val="1"/>
                <w:color w:val="auto"/>
                <w:vertAlign w:val="superscript"/>
              </w:rPr>
              <w:t>4</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3,426,010,689</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2,017,885,680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exercisable at December 31,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9,318,921</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7,564,156</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-2102485</wp:posOffset>
            </wp:positionV>
            <wp:extent cx="596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-2102485</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-431165</wp:posOffset>
            </wp:positionV>
            <wp:extent cx="59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-431165</wp:posOffset>
            </wp:positionV>
            <wp:extent cx="431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5" w:lineRule="exact"/>
        <w:rPr>
          <w:sz w:val="20"/>
          <w:szCs w:val="20"/>
          <w:color w:val="auto"/>
        </w:rPr>
      </w:pPr>
    </w:p>
    <w:p>
      <w:pPr>
        <w:ind w:left="1880" w:hanging="185"/>
        <w:spacing w:after="0"/>
        <w:tabs>
          <w:tab w:leader="none" w:pos="18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date of exercise of these options was £0.68</w:t>
      </w:r>
    </w:p>
    <w:p>
      <w:pPr>
        <w:spacing w:after="0" w:line="27" w:lineRule="exact"/>
        <w:rPr>
          <w:rFonts w:ascii="Times New Roman" w:cs="Times New Roman" w:eastAsia="Times New Roman" w:hAnsi="Times New Roman"/>
          <w:sz w:val="18"/>
          <w:szCs w:val="18"/>
          <w:color w:val="auto"/>
        </w:rPr>
      </w:pPr>
    </w:p>
    <w:p>
      <w:pPr>
        <w:ind w:left="1880" w:hanging="185"/>
        <w:spacing w:after="0"/>
        <w:tabs>
          <w:tab w:leader="none" w:pos="18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date of exercise of these options was £0.15</w:t>
      </w:r>
    </w:p>
    <w:p>
      <w:pPr>
        <w:spacing w:after="0" w:line="9" w:lineRule="exact"/>
        <w:rPr>
          <w:rFonts w:ascii="Times New Roman" w:cs="Times New Roman" w:eastAsia="Times New Roman" w:hAnsi="Times New Roman"/>
          <w:sz w:val="18"/>
          <w:szCs w:val="18"/>
          <w:color w:val="auto"/>
        </w:rPr>
      </w:pPr>
    </w:p>
    <w:p>
      <w:pPr>
        <w:ind w:left="1880" w:hanging="185"/>
        <w:spacing w:after="0"/>
        <w:tabs>
          <w:tab w:leader="none" w:pos="18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date of exercise of these options was £0.04</w:t>
      </w:r>
    </w:p>
    <w:p>
      <w:pPr>
        <w:spacing w:after="0" w:line="9" w:lineRule="exact"/>
        <w:rPr>
          <w:rFonts w:ascii="Times New Roman" w:cs="Times New Roman" w:eastAsia="Times New Roman" w:hAnsi="Times New Roman"/>
          <w:sz w:val="18"/>
          <w:szCs w:val="18"/>
          <w:color w:val="auto"/>
        </w:rPr>
      </w:pPr>
    </w:p>
    <w:p>
      <w:pPr>
        <w:ind w:left="1880" w:hanging="185"/>
        <w:spacing w:after="0"/>
        <w:tabs>
          <w:tab w:leader="none" w:pos="18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outstanding share options ranges from £0.0004 to £16.57</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contractual life of the share options outstanding as at December 31, 2025 is 9.47 years (2024: 6.86 years;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6.66 years).</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94" w:name="page195"/>
    <w:bookmarkEnd w:id="19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payments (continued)</w:t>
      </w:r>
    </w:p>
    <w:p>
      <w:pPr>
        <w:spacing w:after="0" w:line="3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principal assumptions were used in the valuation for 2023 share options:</w:t>
      </w:r>
    </w:p>
    <w:p>
      <w:pPr>
        <w:spacing w:after="0" w:line="178"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 granted on</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Jan 11, 2023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Jan 11, 2023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Jan 11, 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dates</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Jan 11, 2024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Jan 11, 2024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Jan 11, 2024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Jan 11, 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Jan 11, 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Jan 11, 2025</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Jan 11, 2026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Jan 11, 2026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Jan 11, 2026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Jan 11, 2027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Jan 11, 2027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Jan 11, 2027</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97.11%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Risk-free investment rate</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of option at grant date</w:t>
            </w:r>
            <w:r>
              <w:rPr>
                <w:rFonts w:ascii="Times New Roman" w:cs="Times New Roman" w:eastAsia="Times New Roman" w:hAnsi="Times New Roman"/>
                <w:sz w:val="24"/>
                <w:szCs w:val="24"/>
                <w:color w:val="auto"/>
                <w:vertAlign w:val="superscript"/>
              </w:rPr>
              <w:t>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date</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Jan 11, 2033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Jan 11, 2033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Expected option life (years)</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1,774,176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219,163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Vesting dates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 16, 2023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 16, 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Jul 12, 2023</w:t>
            </w: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 16, 2024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 16, 2024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 12, 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121.58%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124.98%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Risk-free investment rate</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2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of option at grant date</w:t>
            </w:r>
            <w:r>
              <w:rPr>
                <w:rFonts w:ascii="Times New Roman" w:cs="Times New Roman" w:eastAsia="Times New Roman" w:hAnsi="Times New Roman"/>
                <w:sz w:val="24"/>
                <w:szCs w:val="24"/>
                <w:color w:val="auto"/>
                <w:vertAlign w:val="superscript"/>
              </w:rPr>
              <w:t>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date</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Jun 16, 2033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Jul 12, 2033</w:t>
            </w:r>
          </w:p>
        </w:tc>
        <w:tc>
          <w:tcPr>
            <w:tcW w:w="0" w:type="dxa"/>
            <w:vAlign w:val="bottom"/>
          </w:tcPr>
          <w:p>
            <w:pPr>
              <w:spacing w:after="0"/>
              <w:rPr>
                <w:sz w:val="1"/>
                <w:szCs w:val="1"/>
                <w:color w:val="auto"/>
              </w:rPr>
            </w:pPr>
          </w:p>
        </w:tc>
      </w:tr>
      <w:tr>
        <w:trPr>
          <w:trHeight w:val="216"/>
        </w:trPr>
        <w:tc>
          <w:tcPr>
            <w:tcW w:w="2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Expected option life (years)</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 Represents the average for the options granted</w:t>
      </w: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95" w:name="page196"/>
    <w:bookmarkEnd w:id="1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payments (continued)</w:t>
      </w: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fair values of options granted were determined using the Black-Scholes model that takes into account factors specific to the share incentive plan such as the assumption that the options are exercised at a point in time of up to 2 years after vesting. This has been incorporated into the measurement by means of actuarial modelling. As NuCana plc was unlisted until October 2, 2017, it is not possible to derive historical volatility from the Company’s ADSs prior to October 2017. For options with an estimated life of greater than five years, the underlying expected volatility was determined by using the historical volatility of similar listed entities as a proxy. The volatility percentage applied to each tranche is the average of the historical volatility of comparable companies to the Company. Options granted with an estimated life of five years or less, have been valued using the Company’s own historical volatility rates.</w:t>
      </w:r>
    </w:p>
    <w:p>
      <w:pPr>
        <w:spacing w:after="0" w:line="29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an employee remuneration expense of £3.9 million, all of which related to equity-settled share-based payments, has been included in the statement of operations and credited to equity.</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principal assumptions were used in the valuation for 2024 share options: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granted on</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Mar 13-14, 2024</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Mar 13, 2024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Mar 13, 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dates</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Mar 13-14, 2025</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Mar 13, 2025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Mar 13, 2025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Mar 13-14, 2026</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Mar 13, 2026</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Mar 13-14, 2027</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Mar 13, 2027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Mar 13-14, 2028</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Mar 13, 2028</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104.73%</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110.40%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Risk-free investment rate</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of option at grant date</w:t>
            </w:r>
            <w:r>
              <w:rPr>
                <w:rFonts w:ascii="Times New Roman" w:cs="Times New Roman" w:eastAsia="Times New Roman" w:hAnsi="Times New Roman"/>
                <w:sz w:val="24"/>
                <w:szCs w:val="24"/>
                <w:color w:val="auto"/>
                <w:vertAlign w:val="superscript"/>
              </w:rPr>
              <w:t>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date</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Mar 13-14, 2034</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Mar 13, 2034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Mar 13, 2034</w:t>
            </w:r>
          </w:p>
        </w:tc>
        <w:tc>
          <w:tcPr>
            <w:tcW w:w="0" w:type="dxa"/>
            <w:vAlign w:val="bottom"/>
          </w:tcPr>
          <w:p>
            <w:pPr>
              <w:spacing w:after="0"/>
              <w:rPr>
                <w:sz w:val="1"/>
                <w:szCs w:val="1"/>
                <w:color w:val="auto"/>
              </w:rPr>
            </w:pPr>
          </w:p>
        </w:tc>
      </w:tr>
      <w:tr>
        <w:trPr>
          <w:trHeight w:val="216"/>
        </w:trPr>
        <w:tc>
          <w:tcPr>
            <w:tcW w:w="3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Expected option life (years)</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4,532,313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Vesting dates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 13, 2024</w:t>
            </w:r>
          </w:p>
        </w:tc>
        <w:tc>
          <w:tcPr>
            <w:tcW w:w="240" w:type="dxa"/>
            <w:vAlign w:val="bottom"/>
          </w:tcPr>
          <w:p>
            <w:pPr>
              <w:spacing w:after="0"/>
              <w:rPr>
                <w:sz w:val="24"/>
                <w:szCs w:val="24"/>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 13, 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 13, 2024</w:t>
            </w: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 13, 2025</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 13, 2025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 13, 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Mar 13, 2026</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Mar 13, 2027</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Mar 13, 2028</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111.50%</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103.00%</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Risk-free investment rate</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Fair value of option at grant date</w:t>
            </w:r>
            <w:r>
              <w:rPr>
                <w:rFonts w:ascii="Times New Roman" w:cs="Times New Roman" w:eastAsia="Times New Roman" w:hAnsi="Times New Roman"/>
                <w:sz w:val="24"/>
                <w:szCs w:val="24"/>
                <w:color w:val="auto"/>
                <w:vertAlign w:val="superscript"/>
              </w:rPr>
              <w:t>1</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Lapse date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Mar 13, 2034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Expected option life (years)</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547,906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Represents the average for the options granted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payments (continued)</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fair values of options granted were determined using the Black-Scholes model that takes into account factors specific to the share incentive plan such as the assumption that the options are exercised at a point in time of up to 2 years after vesting. Options granted have been valued using the Company’s own historical volatility rates.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an employee remuneration expense of £1.6 million (2023: £3.9 million), all of which related to equity-settled share-based payments, has been included in the statement of operations and credited to equity.</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principal assumptions were used in the valuation for 2025 share options: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 granted on</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Jun 20, 2025</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Jun 20, 2025</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Jun 20, 2025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dates</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Jun 20, 2026</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Jun 20, 2026</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Jun 20, 2026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Jun 20, 2027</w:t>
            </w:r>
          </w:p>
        </w:tc>
        <w:tc>
          <w:tcPr>
            <w:tcW w:w="16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Jun 20, 2027</w:t>
            </w:r>
          </w:p>
        </w:tc>
        <w:tc>
          <w:tcPr>
            <w:tcW w:w="2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Jun 20, 2028</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Jun 20, 2028</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Jun 20, 2029</w:t>
            </w:r>
          </w:p>
        </w:tc>
        <w:tc>
          <w:tcPr>
            <w:tcW w:w="16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Jun 20, 2029</w:t>
            </w:r>
          </w:p>
        </w:tc>
        <w:tc>
          <w:tcPr>
            <w:tcW w:w="2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190.44%</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211.97%</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253.88%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Risk-free investment rate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of option at grant date</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date</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Jun 20, 2035</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Jun 20, 2035</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Jun 20, 2035</w:t>
            </w: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Expected option life (years)</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196,266,198</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1,108,027,715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157,982,220</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Vesting dates</w:t>
            </w:r>
          </w:p>
        </w:tc>
        <w:tc>
          <w:tcPr>
            <w:tcW w:w="280" w:type="dxa"/>
            <w:vAlign w:val="bottom"/>
          </w:tcPr>
          <w:p>
            <w:pPr>
              <w:spacing w:after="0"/>
              <w:rPr>
                <w:sz w:val="24"/>
                <w:szCs w:val="24"/>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 20, 2025</w:t>
            </w:r>
          </w:p>
        </w:tc>
        <w:tc>
          <w:tcPr>
            <w:tcW w:w="160" w:type="dxa"/>
            <w:vAlign w:val="bottom"/>
          </w:tcPr>
          <w:p>
            <w:pPr>
              <w:spacing w:after="0"/>
              <w:rPr>
                <w:sz w:val="24"/>
                <w:szCs w:val="24"/>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 20, 2025</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 20, 2025</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 20, 2025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348.99%</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253.88%</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Risk-free investment rate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Fair value of option at grant date</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share at grant date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at date of grant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date</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Jun 20, 2035</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Jun 20, 2035</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Expected option life (years)</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1,304,702,251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711,098,349</w:t>
            </w:r>
          </w:p>
        </w:tc>
        <w:tc>
          <w:tcPr>
            <w:tcW w:w="3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average for the options granted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payments (continued)</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values of options granted were determined using the Black-Scholes model that takes into account factors specific to the share incentive plan such as the assumption that the options are exercised at a point in time of up to 2 years after vesting. Options granted have been valued using the Company’s own historical volatility rates.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2025, the Company cancelled 14,380,933 share options granted under the 2016 Share Option Scheme and 2020 Long-Term Incentive Plan (2024: nil) and granted 3,478,076,732 new options following the dilutive impact of the Company's registered direct offering completed in May 2025. The incremental fair value of the new options was £13.5 million, calculated using the Black-Scholes model fair value of cancelled options at the date of cancellation compared with the fair value at grant date of new options awarded.</w:t>
      </w:r>
    </w:p>
    <w:p>
      <w:pPr>
        <w:spacing w:after="0" w:line="1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an employee remuneration expense of £10.0 million (2024: £1.6 million), all of which related to equity-settled share-based payments, has been included in the statement of operations and credited to equity.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3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one lease contract solely for office space which has been modified during the year and has a remaining lease term of greater than five years. Generally, the Company is restricted from assigning and subleasing the leased asset. The lease contract includes lessee-only termination options and rent review provisions, which are discussed further below.</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the carrying amounts of right of use assets recognized and the movements during the year.</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lease liabilities and the movements during the year are as follows:</w:t>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3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liability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interest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differences</w:t>
            </w:r>
          </w:p>
        </w:tc>
        <w:tc>
          <w:tcPr>
            <w:tcW w:w="236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64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Classified as: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maturity analysis of lease liabilities is as follows:</w:t>
            </w: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3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Contractual undiscounted payments</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Not later than 1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Later than 1 year and not later than 3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Later than 3 years and not later than 5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contractual undiscounted payments</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2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Discounted lease liabilities</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22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-2931160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-2931160</wp:posOffset>
            </wp:positionV>
            <wp:extent cx="603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-453390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 (continued)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amounts are recognized in the statements of operations with respect to lease contracts: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27"/>
        </w:trPr>
        <w:tc>
          <w:tcPr>
            <w:tcW w:w="55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65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158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r>
      <w:tr>
        <w:trPr>
          <w:trHeight w:val="216"/>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 of right of use assets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 liabilities (included in administrative expenses)</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amount recognized in statements of operations</w:t>
            </w:r>
          </w:p>
        </w:tc>
        <w:tc>
          <w:tcPr>
            <w:tcW w:w="10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total net cash outflows for leases of £0.1 million in 2025 (2024: £0.2 million).</w:t>
      </w:r>
    </w:p>
    <w:p>
      <w:pPr>
        <w:spacing w:after="0" w:line="266"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The Company’s lease contract includes fixed rental payments, together with scheduled rent-free periods. The lease also contains a market rent review clause, under which rental payments will be reset to the higher of the rent then payable and the prevailing market rent. As the outcome of this review cannot be reliably determined in advance, no adjustment has been made to the lease liability in respect of this review until the uncertainty is resolved.</w:t>
      </w:r>
    </w:p>
    <w:p>
      <w:pPr>
        <w:spacing w:after="0" w:line="20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had a number of lease contracts that included both extension and termination options, plus the ongoing lease contract has various termination options. These options were negotiated by management to provide flexibility in managing the leased asset portfolio and align it with the Company’s business needs. No termination options have been exercised or are expected to be exercised. All of the extension options required a market rental review and the lease cost for the extension period would have typically been set at the higher of either the existing lease cost or the open market lease cost. The current lease does not contain any extension options and therefore the contractual lease term is limited to the agreed end date, subject only to the termination options described above. The Company extended its office lease contract in 2025, which resulted in a re-measurement of the right of use asset and lease liability of £0.5 million.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key management personnel of the Company</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1100" w:type="dxa"/>
            <w:vAlign w:val="bottom"/>
          </w:tcPr>
          <w:p>
            <w:pPr>
              <w:jc w:val="right"/>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2"/>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300" w:type="dxa"/>
            <w:vAlign w:val="bottom"/>
            <w:gridSpan w:val="2"/>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benefits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amounts disclosed in the table above are the amounts recognized as an expense during the reporting year. As at December 31, 2025, the Company had outstanding amounts due to key management personnel of £0.7 million (December 31, 2024: £0.1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9" w:name="page200"/>
    <w:bookmarkEnd w:id="19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Cash and cash equivalents</w:t>
      </w:r>
    </w:p>
    <w:p>
      <w:pPr>
        <w:spacing w:after="0" w:line="223" w:lineRule="exact"/>
        <w:rPr>
          <w:sz w:val="20"/>
          <w:szCs w:val="20"/>
          <w:color w:val="auto"/>
        </w:rPr>
      </w:pPr>
    </w:p>
    <w:p>
      <w:pPr>
        <w:ind w:left="7480"/>
        <w:spacing w:after="0"/>
        <w:tabs>
          <w:tab w:leader="none" w:pos="8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wp:posOffset>
            </wp:positionV>
            <wp:extent cx="15430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78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130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r>
      <w:tr>
        <w:trPr>
          <w:trHeight w:val="25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at banks with deposit maturity terms of three months or less. Cash at banks earns interest at fixed or variable rates based on the terms agreed for each account.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Liquidity risk is minimal and is managed using deposits with immediate and varied fixed term 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Financial instruments risk management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is exposed to market risk arising from exposure to fluctuation in interest rates and currency exchange rates. These risks are managed by maintaining an appropriate mix of cash deposits in the two main currencies the Company operates in, placed with a variety of financial institutions for varying periods according to expected liquidity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£24.3 million (2024: £6.7 million). Exposure to interest rate sensitivity is impacted primarily by changes in the underlying bank interest rates. The Company’s surplus cash and cash equivalents are invested in interest bearing accounts and certificates of deposit from time to time which earn interest at fixed or variable rates based on the terms agreed for each account.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has not entered into investments for trading or speculative purposes.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Financial assets subject to fixed or variable interest rates are as follows: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1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4"/>
                <w:szCs w:val="24"/>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r>
      <w:tr>
        <w:trPr>
          <w:trHeight w:val="117"/>
        </w:trPr>
        <w:tc>
          <w:tcPr>
            <w:tcW w:w="1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120" w:type="dxa"/>
            <w:vAlign w:val="bottom"/>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1300" w:type="dxa"/>
            <w:vAlign w:val="bottom"/>
            <w:gridSpan w:val="2"/>
          </w:tcPr>
          <w:p>
            <w:pPr>
              <w:jc w:val="right"/>
              <w:ind w:right="704"/>
              <w:spacing w:after="0" w:line="118" w:lineRule="exact"/>
              <w:rPr>
                <w:sz w:val="20"/>
                <w:szCs w:val="20"/>
                <w:color w:val="auto"/>
              </w:rPr>
            </w:pPr>
            <w:r>
              <w:rPr>
                <w:rFonts w:ascii="Times New Roman" w:cs="Times New Roman" w:eastAsia="Times New Roman" w:hAnsi="Times New Roman"/>
                <w:sz w:val="13"/>
                <w:szCs w:val="13"/>
                <w:b w:val="1"/>
                <w:bCs w:val="1"/>
                <w:color w:val="auto"/>
                <w:w w:val="82"/>
              </w:rPr>
              <w:t>thousands)</w:t>
            </w:r>
          </w:p>
        </w:tc>
        <w:tc>
          <w:tcPr>
            <w:tcW w:w="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Pr>
          <w:p>
            <w:pPr>
              <w:jc w:val="right"/>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48"/>
        </w:trPr>
        <w:tc>
          <w:tcPr>
            <w:tcW w:w="1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20" w:type="dxa"/>
            <w:vAlign w:val="bottom"/>
          </w:tcPr>
          <w:p>
            <w:pPr>
              <w:jc w:val="right"/>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17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at short-term fixed rates</w:t>
            </w: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at variable rates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bearing cash balances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An increase in the bank interest rates by 0.5 percentage points would increase the net annual interest income applicable to the cash and cash equivalents held on variable and short-term fixed rate deposits by £0.1 million (2024: £14,000).</w:t>
      </w: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00" w:name="page201"/>
    <w:bookmarkEnd w:id="20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Financial instruments risk management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is U.K. pounds sterling, and our transactions are commonly denominated in that currency. However, a portion of expenses are incurred in other currencies, primarily U.S. dollars, and are exposed to the effects of this exchange rate.</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the Company is based in the United Kingdom, it sources active pharmaceutical ingredient, raw materials, research and development, manufacturing, consulting and other services worldwide, including from the United States, the European Union and India. Any weakening of the pound sterling against the currencies of such other jurisdictions makes the purchase of such goods and services more expensive for the Company. The Company seeks to minimize this exposure by maintaining currency cash balances at levels appropriate to meet foreseeable short to mid-term expenses in these other currencies. The Company thus holds a significant portion of cash and cash equivalents in U.S. dollars and reports the impact of exchange rates movements on these balances.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use derivative instruments to manage exchange rate exposure.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and liabilities in foreign currencies, primarily held in U.S. dollars, are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2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1300" w:type="dxa"/>
            <w:vAlign w:val="bottom"/>
            <w:gridSpan w:val="2"/>
          </w:tcPr>
          <w:p>
            <w:pPr>
              <w:jc w:val="right"/>
              <w:ind w:right="708"/>
              <w:spacing w:after="0" w:line="118" w:lineRule="exact"/>
              <w:rPr>
                <w:sz w:val="20"/>
                <w:szCs w:val="20"/>
                <w:color w:val="auto"/>
              </w:rPr>
            </w:pPr>
            <w:r>
              <w:rPr>
                <w:rFonts w:ascii="Times New Roman" w:cs="Times New Roman" w:eastAsia="Times New Roman" w:hAnsi="Times New Roman"/>
                <w:sz w:val="13"/>
                <w:szCs w:val="13"/>
                <w:b w:val="1"/>
                <w:bCs w:val="1"/>
                <w:color w:val="auto"/>
                <w:w w:val="82"/>
              </w:rPr>
              <w:t>thousands)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1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accrued income and other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receivable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expenditure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 1% increase in the value of the U.K. pound sterling relative to the U.S. dollar would decrease the carrying value of net financial assets and liabilities in foreign currencies by £0.2 million (2024: £4,000 increase).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actively manages cash and cash equivalents across a number of banks and has deposits with different maturity dates. The Company monitors the credit rating of those banks.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at December 31, 2025 are above the £120,000 per depositor per bank protected by the U.K. Financial Services Compensation Scheme. However, over 99 percent of the Company’s cash and cash equivalents at December 31, 2025 were held at U.K. and U.S. financial institutions with short-term A-rated credit ratings, as assessed by recognized international credit rating agencies. As a result, no provision for expected credit losses has been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Derivative financial liabilities and fair value measurements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May 2025, the Company completed a registered direct offering comprising 2,452,935 ADSs, representing 61,323,375 ordinary shares, and 8,393,050 pre-funded warrants, representing 209,826,250 ordinary shares. Each ADS or pre-funded warrant was issued together with one Series A warrant and one Series B warrant to purchase one ADS. Of the £5.2 million initial proceeds, £4.4 million was allocated to the warrants, which were classified as derivative financial instruments. Both Series A and Series B warrants contained a net settlement option and a reset mechanism allowing the exercise price to be adjusted with a proportional adjustment to the number of warrants outstanding, such that the aggregate exercise price payable remained the same. In addition, the Series B warrants included a “zero exercise price” option, allowing the holder, upon payment of the nominal value, to receive three ADSs for each warrant, based on the number that would have been issued under a traditional cash exercise.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01" w:name="page202"/>
    <w:bookmarkEnd w:id="20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Derivative financial liabilities and fair value measurements (continued)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Exercises and settlements during 2025</w:t>
      </w:r>
    </w:p>
    <w:p>
      <w:pPr>
        <w:spacing w:after="0" w:line="119" w:lineRule="exact"/>
        <w:rPr>
          <w:sz w:val="20"/>
          <w:szCs w:val="20"/>
          <w:color w:val="auto"/>
        </w:rPr>
      </w:pPr>
    </w:p>
    <w:p>
      <w:pPr>
        <w:ind w:left="1020" w:hanging="503"/>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8,393,050 pre-funded warrants were exercised for gross proceeds of £0.1 million</w:t>
      </w:r>
      <w:r>
        <w:rPr>
          <w:rFonts w:ascii="Times New Roman" w:cs="Times New Roman" w:eastAsia="Times New Roman" w:hAnsi="Times New Roman"/>
          <w:sz w:val="18"/>
          <w:szCs w:val="18"/>
          <w:i w:val="1"/>
          <w:iCs w:val="1"/>
          <w:color w:val="auto"/>
        </w:rPr>
        <w:t>.</w:t>
      </w:r>
    </w:p>
    <w:p>
      <w:pPr>
        <w:spacing w:after="0" w:line="11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Series B warrants was reset from $1.61 to $0.3643 and subsequently to the floor price of $0.1291, increasing the number of warrants to 118,804,235. All Series B warrants were exercised under the “zero exercise price” option, resulting in the issuance of 356,412,705 ADSs, representing 8,901,317,625 ordinary shares, and gross proceeds of £3.5 million, representing the nominal value of the ordinary shares issued.</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Series A warrants was similarly reset to the $0.1291 floor price, increasing the number of warrants to 67,781,105. Of these, 8,300,000 warrants, representing 207,500,000 ordinary shares, were exercised for gross proceeds of £0.8 million.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agreement was entered into in June 2025 and concluded in July 2025 to cancel the remaining Series A warrants for a fixed cash payment of $3.6 million using 70% of the net proceeds raised from the ATM program initiated in June 2025.</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warrants exercised or cancelled during the year was £17.1 million. Following these transactions, no derivative warrant liabilities remain outstanding at December 31, 2025.</w:t>
      </w:r>
    </w:p>
    <w:p>
      <w:pPr>
        <w:sectPr>
          <w:pgSz w:w="11900" w:h="16838" w:orient="portrait"/>
          <w:cols w:equalWidth="0" w:num="1">
            <w:col w:w="11120"/>
          </w:cols>
          <w:pgMar w:left="320" w:top="765" w:right="459" w:bottom="1440" w:gutter="0" w:footer="0" w:header="0"/>
        </w:sectPr>
      </w:pP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Movement in derivative warrant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At January 1</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Initial recognition on issuance of warrants</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Losses on warrant remeasurement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Cancellation of warrants</w:t>
      </w:r>
    </w:p>
    <w:p>
      <w:pPr>
        <w:spacing w:after="0" w:line="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3260" w:type="dxa"/>
            <w:vAlign w:val="bottom"/>
            <w:gridSpan w:val="3"/>
          </w:tcPr>
          <w:p>
            <w:pPr>
              <w:ind w:left="19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9"/>
                <w:szCs w:val="19"/>
                <w:color w:val="auto"/>
              </w:rPr>
            </w:pPr>
          </w:p>
        </w:tc>
      </w:tr>
      <w:tr>
        <w:trPr>
          <w:trHeight w:val="216"/>
        </w:trPr>
        <w:tc>
          <w:tcPr>
            <w:tcW w:w="230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97"/>
        </w:trPr>
        <w:tc>
          <w:tcPr>
            <w:tcW w:w="32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2"/>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r>
        <w:trPr>
          <w:trHeight w:val="220"/>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2"/>
        </w:trPr>
        <w:tc>
          <w:tcPr>
            <w:tcW w:w="2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(14,483)</w:t>
            </w:r>
          </w:p>
        </w:tc>
        <w:tc>
          <w:tcPr>
            <w:tcW w:w="420" w:type="dxa"/>
            <w:vAlign w:val="bottom"/>
          </w:tcPr>
          <w:p>
            <w:pPr>
              <w:spacing w:after="0"/>
              <w:rPr>
                <w:sz w:val="18"/>
                <w:szCs w:val="18"/>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2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(2,604)</w:t>
            </w:r>
          </w:p>
        </w:tc>
        <w:tc>
          <w:tcPr>
            <w:tcW w:w="420" w:type="dxa"/>
            <w:vAlign w:val="bottom"/>
          </w:tcPr>
          <w:p>
            <w:pPr>
              <w:spacing w:after="0"/>
              <w:rPr>
                <w:sz w:val="20"/>
                <w:szCs w:val="20"/>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9"/>
        </w:trPr>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-856615</wp:posOffset>
            </wp:positionV>
            <wp:extent cx="606044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-582295</wp:posOffset>
            </wp:positionV>
            <wp:extent cx="606044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-307975</wp:posOffset>
            </wp:positionV>
            <wp:extent cx="6060440" cy="146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60" w:space="720"/>
            <w:col w:w="5640"/>
          </w:cols>
          <w:pgMar w:left="320" w:top="765" w:right="459" w:bottom="1440" w:gutter="0" w:footer="0" w:header="0"/>
          <w:type w:val="continuous"/>
        </w:sect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total equity increased by £18.9 million on exercise of warrants, which comprises cash received of £4.4 million plus the £14.5 million fair value of the warrants on exercise.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warrant liabilities were measured at fair value through profit or loss in accordance with IFRS 13. They were categorized within Level 2 of the fair value hierarchy, reflecting the use of observable data, where available. Valuation techniques used included a combination of the Black-Scholes option pricing model and quoted ADS prices. Significant inputs included historical volatility of the Company’s ADSs, expected life of the warrants, risk-free interest rates and probabilities associated with market-based conditions.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no derivative liabilities were outstanding as of December 31, 2025, no amounts are presented within a fair value hierarchy table at that date.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methodology and key inputs</w:t>
      </w:r>
    </w:p>
    <w:p>
      <w:pPr>
        <w:spacing w:after="0" w:line="121" w:lineRule="exact"/>
        <w:rPr>
          <w:sz w:val="20"/>
          <w:szCs w:val="20"/>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and Series B warrants were valued using quoted market prices and a negotiation discount.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warrants were valued using the Black-Scholes option pricing model until the cancellation agreement was entered, after which the valuation reflected the expected settlement cash outflow.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type w:val="continuous"/>
        </w:sectPr>
      </w:pPr>
    </w:p>
    <w:bookmarkStart w:id="202" w:name="page203"/>
    <w:bookmarkEnd w:id="20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Derivative financial liabilities and fair value measurements (continued)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inputs used in the Black-Scholes model and the respective ranges were as follows:</w:t>
      </w:r>
    </w:p>
    <w:p>
      <w:pPr>
        <w:spacing w:after="0" w:line="273" w:lineRule="exact"/>
        <w:rPr>
          <w:sz w:val="20"/>
          <w:szCs w:val="20"/>
          <w:color w:val="auto"/>
        </w:rPr>
      </w:pPr>
    </w:p>
    <w:tbl>
      <w:tblPr>
        <w:tblLayout w:type="fixed"/>
        <w:tblInd w:w="1180" w:type="dxa"/>
        <w:tblCellMar>
          <w:top w:w="0" w:type="dxa"/>
          <w:left w:w="0" w:type="dxa"/>
          <w:bottom w:w="0" w:type="dxa"/>
          <w:right w:w="0" w:type="dxa"/>
        </w:tblCellMar>
      </w:tblPr>
      <w:tr>
        <w:trPr>
          <w:trHeight w:val="173"/>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180" w:type="dxa"/>
            <w:vAlign w:val="bottom"/>
            <w:tcBorders>
              <w:bottom w:val="single" w:sz="8" w:color="auto"/>
            </w:tcBorders>
            <w:gridSpan w:val="3"/>
          </w:tcPr>
          <w:p>
            <w:pPr>
              <w:ind w:left="2020"/>
              <w:spacing w:after="0"/>
              <w:rPr>
                <w:sz w:val="20"/>
                <w:szCs w:val="20"/>
                <w:color w:val="auto"/>
              </w:rPr>
            </w:pPr>
            <w:r>
              <w:rPr>
                <w:rFonts w:ascii="Times New Roman" w:cs="Times New Roman" w:eastAsia="Times New Roman" w:hAnsi="Times New Roman"/>
                <w:sz w:val="14"/>
                <w:szCs w:val="14"/>
                <w:b w:val="1"/>
                <w:bCs w:val="1"/>
                <w:color w:val="auto"/>
              </w:rPr>
              <w:t>Series A warrants</w:t>
            </w: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gridSpan w:val="3"/>
            <w:vMerge w:val="continue"/>
          </w:tcPr>
          <w:p>
            <w:pPr>
              <w:spacing w:after="0"/>
              <w:rPr>
                <w:sz w:val="12"/>
                <w:szCs w:val="12"/>
                <w:color w:val="auto"/>
              </w:rPr>
            </w:pPr>
          </w:p>
        </w:tc>
        <w:tc>
          <w:tcPr>
            <w:tcW w:w="3180" w:type="dxa"/>
            <w:vAlign w:val="bottom"/>
            <w:gridSpan w:val="3"/>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At issuance</w:t>
            </w: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At remeasurement</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w:t>
            </w:r>
          </w:p>
        </w:tc>
        <w:tc>
          <w:tcPr>
            <w:tcW w:w="500" w:type="dxa"/>
            <w:vAlign w:val="bottom"/>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$0.4040</w:t>
            </w:r>
          </w:p>
        </w:tc>
        <w:tc>
          <w:tcPr>
            <w:tcW w:w="42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gridSpan w:val="2"/>
            <w:shd w:val="clear" w:color="auto" w:fill="CFF0FC"/>
          </w:tcPr>
          <w:p>
            <w:pPr>
              <w:jc w:val="right"/>
              <w:ind w:right="481"/>
              <w:spacing w:after="0"/>
              <w:rPr>
                <w:sz w:val="20"/>
                <w:szCs w:val="20"/>
                <w:color w:val="auto"/>
              </w:rPr>
            </w:pPr>
            <w:r>
              <w:rPr>
                <w:rFonts w:ascii="Times New Roman" w:cs="Times New Roman" w:eastAsia="Times New Roman" w:hAnsi="Times New Roman"/>
                <w:sz w:val="18"/>
                <w:szCs w:val="18"/>
                <w:color w:val="auto"/>
              </w:rPr>
              <w:t>$0.0859-</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$0.1650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$0.8068</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to expiry (years)</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2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62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investment rate</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2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warrant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$0.0976</w:t>
            </w:r>
          </w:p>
        </w:tc>
        <w:tc>
          <w:tcPr>
            <w:tcW w:w="4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$0.0736</w:t>
            </w:r>
          </w:p>
        </w:tc>
        <w:tc>
          <w:tcPr>
            <w:tcW w:w="620" w:type="dxa"/>
            <w:vAlign w:val="bottom"/>
            <w:shd w:val="clear" w:color="auto" w:fill="CFF0FC"/>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$0.1480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Events after the reporting period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January 14, 2026, the Company granted 3,851,136,696 share options to employees, consultants and directors pursuant to its existing share-based payment plans.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AMENDED AND RESTATED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among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NUCANA PLC</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CITIBANK, N.A.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Depositary,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 HOLDERS AND BENEFICIAL OWNERS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DEPOSITARY SHARES</w:t>
      </w:r>
    </w:p>
    <w:p>
      <w:pPr>
        <w:jc w:val="center"/>
        <w:spacing w:after="0"/>
        <w:rPr>
          <w:sz w:val="20"/>
          <w:szCs w:val="20"/>
          <w:color w:val="auto"/>
        </w:rPr>
      </w:pPr>
      <w:r>
        <w:rPr>
          <w:rFonts w:ascii="Times New Roman" w:cs="Times New Roman" w:eastAsia="Times New Roman" w:hAnsi="Times New Roman"/>
          <w:sz w:val="22"/>
          <w:szCs w:val="22"/>
          <w:b w:val="1"/>
          <w:bCs w:val="1"/>
          <w:color w:val="auto"/>
        </w:rPr>
        <w:t>ISSUED HEREUNDER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August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7660" w:type="dxa"/>
            <w:vAlign w:val="bottom"/>
            <w:gridSpan w:val="3"/>
          </w:tcPr>
          <w:p>
            <w:pPr>
              <w:ind w:left="3140"/>
              <w:spacing w:after="0"/>
              <w:rPr>
                <w:sz w:val="20"/>
                <w:szCs w:val="20"/>
                <w:color w:val="auto"/>
              </w:rPr>
            </w:pPr>
            <w:r>
              <w:rPr>
                <w:rFonts w:ascii="Times New Roman" w:cs="Times New Roman" w:eastAsia="Times New Roman" w:hAnsi="Times New Roman"/>
                <w:sz w:val="22"/>
                <w:szCs w:val="22"/>
                <w:color w:val="auto"/>
              </w:rPr>
              <w:t>Table of Contents</w:t>
            </w: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466"/>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695"/>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43"/>
        </w:trPr>
        <w:tc>
          <w:tcPr>
            <w:tcW w:w="1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3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17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Section 1.1</w:t>
            </w:r>
          </w:p>
        </w:tc>
        <w:tc>
          <w:tcPr>
            <w:tcW w:w="76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17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Section 1.2</w:t>
            </w: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Effective Date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2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93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AMENDMENTS TO DEPOSIT AGREEMENT</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9380" w:type="dxa"/>
            <w:vAlign w:val="bottom"/>
            <w:gridSpan w:val="4"/>
          </w:tcPr>
          <w:p>
            <w:pPr>
              <w:ind w:left="740"/>
              <w:spacing w:after="0" w:line="243" w:lineRule="exact"/>
              <w:rPr>
                <w:sz w:val="20"/>
                <w:szCs w:val="20"/>
                <w:color w:val="auto"/>
              </w:rPr>
            </w:pPr>
            <w:r>
              <w:rPr>
                <w:rFonts w:ascii="Times New Roman" w:cs="Times New Roman" w:eastAsia="Times New Roman" w:hAnsi="Times New Roman"/>
                <w:sz w:val="22"/>
                <w:szCs w:val="22"/>
                <w:color w:val="auto"/>
              </w:rPr>
              <w:t>Section 2.1   Deposit Agreement Amendments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82"/>
        </w:trPr>
        <w:tc>
          <w:tcPr>
            <w:tcW w:w="9380" w:type="dxa"/>
            <w:vAlign w:val="bottom"/>
            <w:gridSpan w:val="4"/>
          </w:tcPr>
          <w:p>
            <w:pPr>
              <w:ind w:left="740"/>
              <w:spacing w:after="0"/>
              <w:rPr>
                <w:sz w:val="20"/>
                <w:szCs w:val="20"/>
                <w:color w:val="auto"/>
              </w:rPr>
            </w:pPr>
            <w:r>
              <w:rPr>
                <w:rFonts w:ascii="Times New Roman" w:cs="Times New Roman" w:eastAsia="Times New Roman" w:hAnsi="Times New Roman"/>
                <w:sz w:val="22"/>
                <w:szCs w:val="22"/>
                <w:color w:val="auto"/>
              </w:rPr>
              <w:t>Section 2.2   Amendments Binding on all Holders and Beneficial Owners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2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93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AMENDMENTS TO THE FORM OF ADR, AND ISSUED AND OUTSTANDING ADRs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7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Section 3.1</w:t>
            </w:r>
          </w:p>
        </w:tc>
        <w:tc>
          <w:tcPr>
            <w:tcW w:w="76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ADR Amendments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82"/>
        </w:trPr>
        <w:tc>
          <w:tcPr>
            <w:tcW w:w="9380" w:type="dxa"/>
            <w:vAlign w:val="bottom"/>
            <w:gridSpan w:val="4"/>
          </w:tcPr>
          <w:p>
            <w:pPr>
              <w:ind w:left="740"/>
              <w:spacing w:after="0"/>
              <w:rPr>
                <w:sz w:val="20"/>
                <w:szCs w:val="20"/>
                <w:color w:val="auto"/>
              </w:rPr>
            </w:pPr>
            <w:r>
              <w:rPr>
                <w:rFonts w:ascii="Times New Roman" w:cs="Times New Roman" w:eastAsia="Times New Roman" w:hAnsi="Times New Roman"/>
                <w:sz w:val="22"/>
                <w:szCs w:val="22"/>
                <w:color w:val="auto"/>
              </w:rPr>
              <w:t>Section 3.2   Change of Ratio</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2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93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REPRESENTATIONS AND WARRANTIES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82"/>
        </w:trPr>
        <w:tc>
          <w:tcPr>
            <w:tcW w:w="9380" w:type="dxa"/>
            <w:vAlign w:val="bottom"/>
            <w:gridSpan w:val="4"/>
          </w:tcPr>
          <w:p>
            <w:pPr>
              <w:ind w:left="740"/>
              <w:spacing w:after="0"/>
              <w:rPr>
                <w:sz w:val="20"/>
                <w:szCs w:val="20"/>
                <w:color w:val="auto"/>
              </w:rPr>
            </w:pPr>
            <w:r>
              <w:rPr>
                <w:rFonts w:ascii="Times New Roman" w:cs="Times New Roman" w:eastAsia="Times New Roman" w:hAnsi="Times New Roman"/>
                <w:sz w:val="22"/>
                <w:szCs w:val="22"/>
                <w:color w:val="auto"/>
              </w:rPr>
              <w:t>Section 4.1   Representations and Warranties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2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93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MISCELLANEOUS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Section 5.1</w:t>
            </w:r>
          </w:p>
        </w:tc>
        <w:tc>
          <w:tcPr>
            <w:tcW w:w="76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New ADRs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9380" w:type="dxa"/>
            <w:vAlign w:val="bottom"/>
            <w:gridSpan w:val="4"/>
          </w:tcPr>
          <w:p>
            <w:pPr>
              <w:ind w:left="740"/>
              <w:spacing w:after="0" w:line="243" w:lineRule="exact"/>
              <w:rPr>
                <w:sz w:val="20"/>
                <w:szCs w:val="20"/>
                <w:color w:val="auto"/>
              </w:rPr>
            </w:pPr>
            <w:r>
              <w:rPr>
                <w:rFonts w:ascii="Times New Roman" w:cs="Times New Roman" w:eastAsia="Times New Roman" w:hAnsi="Times New Roman"/>
                <w:sz w:val="22"/>
                <w:szCs w:val="22"/>
                <w:color w:val="auto"/>
              </w:rPr>
              <w:t>Section 5.2   Notice of Amendment to Holders of ADSs</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7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Section 5.3</w:t>
            </w:r>
          </w:p>
        </w:tc>
        <w:tc>
          <w:tcPr>
            <w:tcW w:w="76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Indemnification</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7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Section 5.4</w:t>
            </w:r>
          </w:p>
        </w:tc>
        <w:tc>
          <w:tcPr>
            <w:tcW w:w="76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Ratification</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7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6"/>
              </w:rPr>
              <w:t>Section 5.5</w:t>
            </w:r>
          </w:p>
        </w:tc>
        <w:tc>
          <w:tcPr>
            <w:tcW w:w="7660" w:type="dxa"/>
            <w:vAlign w:val="bottom"/>
            <w:gridSpan w:val="3"/>
          </w:tcPr>
          <w:p>
            <w:pPr>
              <w:ind w:left="32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82"/>
        </w:trPr>
        <w:tc>
          <w:tcPr>
            <w:tcW w:w="17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Section 5.6</w:t>
            </w: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Counterparts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42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FORM OF ADR</w:t>
            </w:r>
          </w:p>
        </w:tc>
        <w:tc>
          <w:tcPr>
            <w:tcW w:w="76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A-1</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tabs>
          <w:tab w:leader="none" w:pos="2580" w:val="left"/>
        </w:tabs>
        <w:rPr>
          <w:sz w:val="20"/>
          <w:szCs w:val="20"/>
          <w:color w:val="auto"/>
        </w:rPr>
      </w:pPr>
      <w:r>
        <w:rPr>
          <w:rFonts w:ascii="Times New Roman" w:cs="Times New Roman" w:eastAsia="Times New Roman" w:hAnsi="Times New Roman"/>
          <w:sz w:val="22"/>
          <w:szCs w:val="22"/>
          <w:color w:val="auto"/>
        </w:rPr>
        <w:t>NOTICE TO HOLDERS</w:t>
      </w:r>
      <w:r>
        <w:rPr>
          <w:sz w:val="20"/>
          <w:szCs w:val="20"/>
          <w:color w:val="auto"/>
        </w:rPr>
        <w:tab/>
      </w:r>
      <w:r>
        <w:rPr>
          <w:rFonts w:ascii="Times New Roman" w:cs="Times New Roman" w:eastAsia="Times New Roman" w:hAnsi="Times New Roman"/>
          <w:sz w:val="21"/>
          <w:szCs w:val="21"/>
          <w:color w:val="auto"/>
        </w:rPr>
        <w:t>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205" w:name="page206"/>
    <w:bookmarkEnd w:id="205"/>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AMENDED AND RESTATED DEPOSIT AGREEMENT</w:t>
      </w:r>
    </w:p>
    <w:p>
      <w:pPr>
        <w:spacing w:after="0" w:line="21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AMENDMENT NO. 1 TO AMENDED AND RESTATED DEPOSIT AGREEMENT, dated as of August 11, 2025 (“</w:t>
      </w:r>
      <w:r>
        <w:rPr>
          <w:rFonts w:ascii="Times New Roman" w:cs="Times New Roman" w:eastAsia="Times New Roman" w:hAnsi="Times New Roman"/>
          <w:sz w:val="21"/>
          <w:szCs w:val="21"/>
          <w:u w:val="single" w:color="auto"/>
          <w:color w:val="auto"/>
        </w:rPr>
        <w:t>Amendment No. 1</w:t>
      </w:r>
      <w:r>
        <w:rPr>
          <w:rFonts w:ascii="Times New Roman" w:cs="Times New Roman" w:eastAsia="Times New Roman" w:hAnsi="Times New Roman"/>
          <w:sz w:val="21"/>
          <w:szCs w:val="21"/>
          <w:color w:val="auto"/>
        </w:rPr>
        <w:t>”), by and among (i) NuCana plc, a public limited company incorporated under the laws of the England and Wales, and its successors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(ii) Citibank, N.A., a national banking association organized under the laws of the United States of America acting in its capacity as depositary, and any successor depositary hereunder (the “</w:t>
      </w:r>
      <w:r>
        <w:rPr>
          <w:rFonts w:ascii="Times New Roman" w:cs="Times New Roman" w:eastAsia="Times New Roman" w:hAnsi="Times New Roman"/>
          <w:sz w:val="21"/>
          <w:szCs w:val="21"/>
          <w:u w:val="single" w:color="auto"/>
          <w:color w:val="auto"/>
        </w:rPr>
        <w:t>Depositary</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ind w:firstLine="8"/>
        <w:spacing w:after="0" w:line="237" w:lineRule="auto"/>
        <w:tabs>
          <w:tab w:leader="none" w:pos="38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Holders and Beneficial Owners of American Depositary Shares issued and outstanding under the Deposit Agreement (as hereinafter defined).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T H A 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Depositary entered into that certain Amended and Restated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as of May 7, 2025 (the “</w:t>
      </w:r>
      <w:r>
        <w:rPr>
          <w:rFonts w:ascii="Times New Roman" w:cs="Times New Roman" w:eastAsia="Times New Roman" w:hAnsi="Times New Roman"/>
          <w:sz w:val="22"/>
          <w:szCs w:val="22"/>
          <w:u w:val="single" w:color="auto"/>
          <w:color w:val="auto"/>
        </w:rPr>
        <w:t>Deposit Agreement</w:t>
      </w:r>
      <w:r>
        <w:rPr>
          <w:rFonts w:ascii="Times New Roman" w:cs="Times New Roman" w:eastAsia="Times New Roman" w:hAnsi="Times New Roman"/>
          <w:sz w:val="22"/>
          <w:szCs w:val="22"/>
          <w:color w:val="auto"/>
        </w:rPr>
        <w:t>”), for the creation of ADSs (as defined in the Deposit Agreement) representing the Shares (as defined in the Deposit Agreement) deposited thereunder and for the execution and delivery of American Depositary Receipts (“</w:t>
      </w:r>
      <w:r>
        <w:rPr>
          <w:rFonts w:ascii="Times New Roman" w:cs="Times New Roman" w:eastAsia="Times New Roman" w:hAnsi="Times New Roman"/>
          <w:sz w:val="22"/>
          <w:szCs w:val="22"/>
          <w:u w:val="single" w:color="auto"/>
          <w:color w:val="auto"/>
        </w:rPr>
        <w:t>ADRs</w:t>
      </w:r>
      <w:r>
        <w:rPr>
          <w:rFonts w:ascii="Times New Roman" w:cs="Times New Roman" w:eastAsia="Times New Roman" w:hAnsi="Times New Roman"/>
          <w:sz w:val="22"/>
          <w:szCs w:val="22"/>
          <w:color w:val="auto"/>
        </w:rPr>
        <w:t>”) in respect of the ADSs; and</w:t>
      </w:r>
    </w:p>
    <w:p>
      <w:pPr>
        <w:spacing w:after="0" w:line="17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(a) change the ADS-to-Share ratio from the existing ratio of one (1) ADS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twenty-five (25) Shares to a new ratio of one (1) ADS to five thousand (5,000) Shares, (b) amend the Deposit Agreement, the ADRs currently outstanding and the form of ADR annexed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the Deposit Agreement to reflect such change, and (c) to give notice thereof to all Holders (as defined in the Deposit Agreement) of ADSs; and</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6.1 of the Deposit Agreement, the Company and the Depositary deem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necessary and desirable to amend the Deposit Agreement, the ADRs currently outstanding and the form of ADR annexed to the Deposit Agreement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 the purposes set forth herein; and</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acknowledged, the Company and the Depositary hereby agree to amend the Deposit Agreement, the ADRs currently outstanding and the form of ADR annexed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the Deposit Agreement as follows: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Unless otherwise specified in this Amendment No. 1, all capitalized terms used, but not defined, herein shall have the meanings given to such terms in the Deposit Agreement.</w:t>
      </w:r>
    </w:p>
    <w:p>
      <w:pPr>
        <w:spacing w:after="0" w:line="154"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u w:val="single" w:color="auto"/>
          <w:color w:val="auto"/>
        </w:rPr>
        <w:t>Effective Date.</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date set forth above and as of which this Amendment No. 1 shall become effective.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ind w:left="1500" w:right="3400" w:firstLine="1907"/>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AMENDMENTS TO DEPOSIT AGREEMENT Section 2.1 </w:t>
      </w:r>
      <w:r>
        <w:rPr>
          <w:rFonts w:ascii="Times New Roman" w:cs="Times New Roman" w:eastAsia="Times New Roman" w:hAnsi="Times New Roman"/>
          <w:sz w:val="22"/>
          <w:szCs w:val="22"/>
          <w:b w:val="1"/>
          <w:bCs w:val="1"/>
          <w:u w:val="single" w:color="auto"/>
          <w:color w:val="auto"/>
        </w:rPr>
        <w:t>Deposit Agreement Amendments.</w:t>
      </w:r>
    </w:p>
    <w:p>
      <w:pPr>
        <w:spacing w:after="0" w:line="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references in the Deposit Agreement to the term “Deposit Agreement” shall, as of the Effective Date, refer to the Amended and Restated Deposit Agreement, dated as of May 7, 2025, as amended by this Amendment No. 1 and as may be further amended and supplemented after the Effective Date.</w:t>
      </w:r>
    </w:p>
    <w:p>
      <w:pPr>
        <w:spacing w:after="0" w:line="169"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u w:val="single" w:color="auto"/>
          <w:color w:val="auto"/>
        </w:rPr>
        <w:t>Amendments Binding on all Holders and Beneficial Owners.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From and after the Effective Date, this Amendment No. 1 effected hereby shall be binding on all Holders and Beneficial Owners of ADSs issued and outstanding as of the Effective Date and on all Holders and Beneficial Owners of ADSs issued after the Effective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ind w:left="1500" w:right="1520" w:hanging="33"/>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AMENDMENTS TO THE FORM OF ADR, AND ISSUED AND OUTSTANDING ADRs Section 3.1 </w:t>
      </w:r>
      <w:r>
        <w:rPr>
          <w:rFonts w:ascii="Times New Roman" w:cs="Times New Roman" w:eastAsia="Times New Roman" w:hAnsi="Times New Roman"/>
          <w:sz w:val="22"/>
          <w:szCs w:val="22"/>
          <w:b w:val="1"/>
          <w:bCs w:val="1"/>
          <w:u w:val="single" w:color="auto"/>
          <w:color w:val="auto"/>
        </w:rPr>
        <w:t>ADR Amendments.</w:t>
      </w:r>
    </w:p>
    <w:p>
      <w:pPr>
        <w:spacing w:after="0" w:line="1" w:lineRule="exact"/>
        <w:rPr>
          <w:sz w:val="20"/>
          <w:szCs w:val="20"/>
          <w:color w:val="auto"/>
        </w:rPr>
      </w:pPr>
    </w:p>
    <w:p>
      <w:pPr>
        <w:jc w:val="both"/>
        <w:ind w:firstLine="3003"/>
        <w:spacing w:after="0" w:line="261" w:lineRule="auto"/>
        <w:tabs>
          <w:tab w:leader="none" w:pos="342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phrase in the top, right-hand corner of the first page of the Form of ADR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Deposit Agreement and in each of the ADRs issued and outstanding under the terms of the Deposit Agreement is hereby amended as of the Effective Date by deleting such phrase in its entirety and inserting the following in its stead:</w:t>
      </w:r>
    </w:p>
    <w:p>
      <w:pPr>
        <w:spacing w:after="0" w:line="157" w:lineRule="exact"/>
        <w:rPr>
          <w:sz w:val="20"/>
          <w:szCs w:val="20"/>
          <w:color w:val="auto"/>
        </w:rPr>
      </w:pPr>
    </w:p>
    <w:p>
      <w:pPr>
        <w:jc w:val="both"/>
        <w:ind w:left="3000" w:right="760"/>
        <w:spacing w:after="0" w:line="244" w:lineRule="auto"/>
        <w:rPr>
          <w:sz w:val="20"/>
          <w:szCs w:val="20"/>
          <w:color w:val="auto"/>
        </w:rPr>
      </w:pPr>
      <w:r>
        <w:rPr>
          <w:rFonts w:ascii="Times New Roman" w:cs="Times New Roman" w:eastAsia="Times New Roman" w:hAnsi="Times New Roman"/>
          <w:sz w:val="22"/>
          <w:szCs w:val="22"/>
          <w:color w:val="auto"/>
        </w:rPr>
        <w:t>“American Depositary Shares (each American Depositary Share representing the right to receive five thousand (5,000) fully paid ordinary shares, nominal value £0.0004 per share)”</w:t>
      </w:r>
    </w:p>
    <w:p>
      <w:pPr>
        <w:spacing w:after="0" w:line="389" w:lineRule="exact"/>
        <w:rPr>
          <w:sz w:val="20"/>
          <w:szCs w:val="20"/>
          <w:color w:val="auto"/>
        </w:rPr>
      </w:pPr>
    </w:p>
    <w:p>
      <w:pPr>
        <w:jc w:val="both"/>
        <w:ind w:firstLine="3003"/>
        <w:spacing w:after="0" w:line="239" w:lineRule="auto"/>
        <w:tabs>
          <w:tab w:leader="none" w:pos="342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second sentence of the introductory paragraph of the first page of the Form of ADR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80" w:lineRule="exact"/>
        <w:rPr>
          <w:sz w:val="20"/>
          <w:szCs w:val="20"/>
          <w:color w:val="auto"/>
        </w:rPr>
      </w:pPr>
    </w:p>
    <w:p>
      <w:pPr>
        <w:jc w:val="both"/>
        <w:ind w:left="3100" w:right="1500"/>
        <w:spacing w:after="0" w:line="255" w:lineRule="auto"/>
        <w:rPr>
          <w:sz w:val="20"/>
          <w:szCs w:val="20"/>
          <w:color w:val="auto"/>
        </w:rPr>
      </w:pPr>
      <w:r>
        <w:rPr>
          <w:rFonts w:ascii="Times New Roman" w:cs="Times New Roman" w:eastAsia="Times New Roman" w:hAnsi="Times New Roman"/>
          <w:sz w:val="21"/>
          <w:szCs w:val="21"/>
          <w:color w:val="auto"/>
        </w:rPr>
        <w:t>“As of the date of issuance of this ADR, each ADS represents the right to receive five thousand (5,000) Shares deposited under the Deposit Agreement (as hereinafter defined) with the Custodian, which at the date of issuance of this ADR is Citibank, N.A., London Branch (the “Custodian”).”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7" w:name="page208"/>
    <w:bookmarkEnd w:id="207"/>
    <w:p>
      <w:pPr>
        <w:jc w:val="both"/>
        <w:ind w:firstLine="3003"/>
        <w:spacing w:after="0" w:line="244" w:lineRule="auto"/>
        <w:tabs>
          <w:tab w:leader="none" w:pos="342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first sentence of paragraph (1) of the form of ADR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3" w:lineRule="exact"/>
        <w:rPr>
          <w:sz w:val="20"/>
          <w:szCs w:val="20"/>
          <w:color w:val="auto"/>
        </w:rPr>
      </w:pPr>
    </w:p>
    <w:p>
      <w:pPr>
        <w:jc w:val="both"/>
        <w:ind w:left="3100" w:right="1500"/>
        <w:spacing w:after="0" w:line="235" w:lineRule="auto"/>
        <w:rPr>
          <w:sz w:val="20"/>
          <w:szCs w:val="20"/>
          <w:color w:val="auto"/>
        </w:rPr>
      </w:pPr>
      <w:r>
        <w:rPr>
          <w:rFonts w:ascii="Times New Roman" w:cs="Times New Roman" w:eastAsia="Times New Roman" w:hAnsi="Times New Roman"/>
          <w:sz w:val="22"/>
          <w:szCs w:val="22"/>
          <w:color w:val="auto"/>
        </w:rPr>
        <w:t>“This American Depositary Receipt is one of an issue of American Depositary Receipts (“ADRs”), all issued and to be issued upon the terms and conditions set forth in the Amended and Restated Deposit Agreement, dated as of May 7, 2025, as amended by Amendment No. 1 to Amended and Restated Deposit Agreement, dated as of August 11, 2025 (as amended and supplemented from time to time, the “Deposit Agreement”), by and among the Company, the Depositary, and all Holders and Beneficial Owners from time to time of ADSs issued thereunder.”</w:t>
      </w:r>
    </w:p>
    <w:p>
      <w:pPr>
        <w:spacing w:after="0" w:line="20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3.2</w:t>
      </w:r>
      <w:r>
        <w:rPr>
          <w:sz w:val="20"/>
          <w:szCs w:val="20"/>
          <w:color w:val="auto"/>
        </w:rPr>
        <w:tab/>
      </w:r>
      <w:r>
        <w:rPr>
          <w:rFonts w:ascii="Times New Roman" w:cs="Times New Roman" w:eastAsia="Times New Roman" w:hAnsi="Times New Roman"/>
          <w:sz w:val="21"/>
          <w:szCs w:val="21"/>
          <w:b w:val="1"/>
          <w:bCs w:val="1"/>
          <w:u w:val="single" w:color="auto"/>
          <w:color w:val="auto"/>
        </w:rPr>
        <w:t>Change of Ratio.</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All other references to the ADS-to-Share ratio made in the form of ADR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the Deposit Agreement and in each of the ADRs outstanding, as of the Effective Date, under the terms of the Deposit Agreement shall, as of the Effective Date, refer to the ADS-to-Share ratio of “one (1) ADS to five thousand (5,000)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06"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4.1</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Company represents and warrants to, and agrees with, the Depositary and the Holders and Beneficial Owners, that:</w:t>
      </w:r>
    </w:p>
    <w:p>
      <w:pPr>
        <w:spacing w:after="0" w:line="218" w:lineRule="exact"/>
        <w:rPr>
          <w:sz w:val="20"/>
          <w:szCs w:val="20"/>
          <w:color w:val="auto"/>
        </w:rPr>
      </w:pPr>
    </w:p>
    <w:p>
      <w:pPr>
        <w:jc w:val="both"/>
        <w:ind w:firstLine="3003"/>
        <w:spacing w:after="0" w:line="236" w:lineRule="auto"/>
        <w:tabs>
          <w:tab w:leader="none" w:pos="342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No. 1,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1" w:lineRule="exact"/>
        <w:rPr>
          <w:rFonts w:ascii="Times New Roman" w:cs="Times New Roman" w:eastAsia="Times New Roman" w:hAnsi="Times New Roman"/>
          <w:sz w:val="22"/>
          <w:szCs w:val="22"/>
          <w:color w:val="auto"/>
        </w:rPr>
      </w:pPr>
    </w:p>
    <w:p>
      <w:pPr>
        <w:jc w:val="both"/>
        <w:ind w:firstLine="3003"/>
        <w:spacing w:after="0" w:line="261" w:lineRule="auto"/>
        <w:tabs>
          <w:tab w:leader="none" w:pos="3427"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ensure the legality, validity, enforceability or admissibility into evidence of this Amendment No. 1 or the Deposit Agreement as amended hereby, or any other document furnished hereunder or thereunder in the England and Wales, none of such agreements need to be filed or recorded with any court or other authority in the England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and Wales, nor does any stamp or similar tax need be paid in the England and Wales on or in respect of such agreements; and</w:t>
      </w:r>
    </w:p>
    <w:p>
      <w:pPr>
        <w:spacing w:after="0" w:line="206" w:lineRule="exact"/>
        <w:rPr>
          <w:sz w:val="20"/>
          <w:szCs w:val="20"/>
          <w:color w:val="auto"/>
        </w:rPr>
      </w:pPr>
    </w:p>
    <w:p>
      <w:pPr>
        <w:ind w:firstLine="3003"/>
        <w:spacing w:after="0" w:line="258" w:lineRule="auto"/>
        <w:tabs>
          <w:tab w:leader="none" w:pos="342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information provided to the Depositary by the Company in connection with this Amendment No. 1 is true, accurate and correct.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5.1</w:t>
      </w:r>
      <w:r>
        <w:rPr>
          <w:sz w:val="20"/>
          <w:szCs w:val="20"/>
          <w:color w:val="auto"/>
        </w:rPr>
        <w:tab/>
      </w:r>
      <w:r>
        <w:rPr>
          <w:rFonts w:ascii="Times New Roman" w:cs="Times New Roman" w:eastAsia="Times New Roman" w:hAnsi="Times New Roman"/>
          <w:sz w:val="21"/>
          <w:szCs w:val="21"/>
          <w:b w:val="1"/>
          <w:bCs w:val="1"/>
          <w:u w:val="single" w:color="auto"/>
          <w:color w:val="auto"/>
        </w:rPr>
        <w:t>New ADRs.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From and after the Effective Date, the Depositary shall arrange to have new ADRs printed to reflect the changes to the form of ADR effected by this Amendment No. 1. All ADRs issued hereunder after the Effective Date,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ADRs issued prior or subsequent to the date hereof, which do not reflect the changes to the form of ADR effected hereby, need to be called in for exchange. The Depositary is authorized and directed to take any and all actions deemed necessary to effect the foregoing.</w:t>
      </w:r>
    </w:p>
    <w:p>
      <w:pPr>
        <w:spacing w:after="0" w:line="177"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5.2</w:t>
      </w:r>
      <w:r>
        <w:rPr>
          <w:sz w:val="20"/>
          <w:szCs w:val="20"/>
          <w:color w:val="auto"/>
        </w:rPr>
        <w:tab/>
      </w:r>
      <w:r>
        <w:rPr>
          <w:rFonts w:ascii="Times New Roman" w:cs="Times New Roman" w:eastAsia="Times New Roman" w:hAnsi="Times New Roman"/>
          <w:sz w:val="21"/>
          <w:szCs w:val="21"/>
          <w:b w:val="1"/>
          <w:bCs w:val="1"/>
          <w:u w:val="single" w:color="auto"/>
          <w:color w:val="auto"/>
        </w:rPr>
        <w:t>Notice of Amendment to Holders of ADSs.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The Depositary is hereby directed to send a notice informing the Holders of ADSs,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xml:space="preserve">, (i) of the terms of this Amendment No. 1; (ii) of the Effective Date of this Amendment No. 1; (iii) that the Holder of ADRs are requested to surrender their ADRs in exchange for new ADRs reflecting the changes effected by this Amendment No. 1, as provided in Section 5.1 hereof; and (iv) that copies of this Amendment No. 1 may be retrieved from the Commission’s website at www.sec.gov and may be obtained from the Depositary and the Company upon request. The notice to Holders of ADSs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7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5.3</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agrees to indemnify and hold harmless the Depositary (and any and all of its directors, employees and officers) for any and all liability it or they may incur as a result of the terms of this Amendment No. 1 and the transactions contemplated herein.</w:t>
      </w:r>
    </w:p>
    <w:p>
      <w:pPr>
        <w:spacing w:after="0" w:line="169"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5.4</w:t>
      </w:r>
      <w:r>
        <w:rPr>
          <w:sz w:val="20"/>
          <w:szCs w:val="20"/>
          <w:color w:val="auto"/>
        </w:rPr>
        <w:tab/>
      </w:r>
      <w:r>
        <w:rPr>
          <w:rFonts w:ascii="Times New Roman" w:cs="Times New Roman" w:eastAsia="Times New Roman" w:hAnsi="Times New Roman"/>
          <w:sz w:val="21"/>
          <w:szCs w:val="21"/>
          <w:b w:val="1"/>
          <w:bCs w:val="1"/>
          <w:u w:val="single" w:color="auto"/>
          <w:color w:val="auto"/>
        </w:rPr>
        <w:t>Ratification.</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Except as expressly amended hereby, the terms, covenants and conditions of the Deposit Agreement as originally executed shall remain in full force and effect.</w:t>
      </w:r>
    </w:p>
    <w:p>
      <w:pPr>
        <w:spacing w:after="0" w:line="154"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5.5</w:t>
      </w:r>
      <w:r>
        <w:rPr>
          <w:sz w:val="20"/>
          <w:szCs w:val="20"/>
          <w:color w:val="auto"/>
        </w:rPr>
        <w:tab/>
      </w:r>
      <w:r>
        <w:rPr>
          <w:rFonts w:ascii="Times New Roman" w:cs="Times New Roman" w:eastAsia="Times New Roman" w:hAnsi="Times New Roman"/>
          <w:sz w:val="21"/>
          <w:szCs w:val="21"/>
          <w:b w:val="1"/>
          <w:bCs w:val="1"/>
          <w:u w:val="single" w:color="auto"/>
          <w:color w:val="auto"/>
        </w:rPr>
        <w:t>Governing Law.</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Amendment No. 1 shall be governed by and construed in accordance with the laws of the State of New York without reference to its principles of choice of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Section 5.6</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Amendment No. 1 may be executed in any number of counterparts, each of which shall be deemed an original, and all of such counterparts together shall be deemed an original, and all such counterparts together shall constitute one and the same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[Signatures on the following page.]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0" w:name="page211"/>
    <w:bookmarkEnd w:id="210"/>
    <w:p>
      <w:pPr>
        <w:ind w:firstLine="1497"/>
        <w:spacing w:after="0" w:line="241" w:lineRule="auto"/>
        <w:rPr>
          <w:sz w:val="20"/>
          <w:szCs w:val="20"/>
          <w:color w:val="auto"/>
        </w:rPr>
      </w:pPr>
      <w:r>
        <w:rPr>
          <w:rFonts w:ascii="Times New Roman" w:cs="Times New Roman" w:eastAsia="Times New Roman" w:hAnsi="Times New Roman"/>
          <w:sz w:val="22"/>
          <w:szCs w:val="22"/>
          <w:color w:val="auto"/>
        </w:rPr>
        <w:t>IN WITNESS WHEREOF, the Company and the Depositary have caused this Amendment No. 1 to be executed by representatives thereunto duly authorized as of the date set forth above.</w:t>
      </w:r>
    </w:p>
    <w:p>
      <w:pPr>
        <w:spacing w:after="0" w:line="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NUCANA PLC</w:t>
      </w: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Andrew Kay</w:t>
      </w:r>
      <w:r>
        <w:rPr>
          <w:rFonts w:ascii="Times New Roman" w:cs="Times New Roman" w:eastAsia="Times New Roman" w:hAnsi="Times New Roman"/>
          <w:sz w:val="22"/>
          <w:szCs w:val="22"/>
          <w:color w:val="auto"/>
        </w:rPr>
        <w:t>_________________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Andrew Kay</w:t>
      </w:r>
    </w:p>
    <w:p>
      <w:pPr>
        <w:ind w:left="5240"/>
        <w:spacing w:after="0" w:line="230" w:lineRule="auto"/>
        <w:rPr>
          <w:sz w:val="20"/>
          <w:szCs w:val="20"/>
          <w:color w:val="auto"/>
        </w:rPr>
      </w:pPr>
      <w:r>
        <w:rPr>
          <w:rFonts w:ascii="Times New Roman" w:cs="Times New Roman" w:eastAsia="Times New Roman" w:hAnsi="Times New Roman"/>
          <w:sz w:val="22"/>
          <w:szCs w:val="22"/>
          <w:color w:val="auto"/>
        </w:rPr>
        <w:t>Title: Executive Chairman of the Board of Directors and Acting</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Principal Executive Officer</w:t>
      </w:r>
    </w:p>
    <w:p>
      <w:pPr>
        <w:spacing w:after="0" w:line="1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CITIBANK, N.A., as Depositary</w:t>
      </w: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_/s/ Joseph Connor</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Joseph Connor</w:t>
      </w:r>
    </w:p>
    <w:p>
      <w:pPr>
        <w:ind w:left="5240"/>
        <w:spacing w:after="0"/>
        <w:rPr>
          <w:sz w:val="20"/>
          <w:szCs w:val="20"/>
          <w:color w:val="auto"/>
        </w:rPr>
      </w:pPr>
      <w:r>
        <w:rPr>
          <w:rFonts w:ascii="Times New Roman" w:cs="Times New Roman" w:eastAsia="Times New Roman" w:hAnsi="Times New Roman"/>
          <w:sz w:val="22"/>
          <w:szCs w:val="22"/>
          <w:color w:val="auto"/>
        </w:rPr>
        <w:t>Title: Attorney-in-Fact</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11" w:name="page212"/>
    <w:bookmarkEnd w:id="211"/>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ADR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NUMBER: _______</w:t>
      </w:r>
    </w:p>
    <w:p>
      <w:pPr>
        <w:spacing w:after="0" w:line="44" w:lineRule="exact"/>
        <w:rPr>
          <w:sz w:val="20"/>
          <w:szCs w:val="20"/>
          <w:color w:val="auto"/>
        </w:rPr>
      </w:pPr>
    </w:p>
    <w:p>
      <w:pPr>
        <w:sectPr>
          <w:pgSz w:w="11900" w:h="16838" w:orient="portrait"/>
          <w:cols w:equalWidth="0" w:num="2">
            <w:col w:w="3180" w:space="720"/>
            <w:col w:w="73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_____________</w:t>
      </w:r>
    </w:p>
    <w:p>
      <w:pPr>
        <w:spacing w:after="0" w:line="4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American Depositary Shares (each American Depositary</w:t>
      </w:r>
    </w:p>
    <w:p>
      <w:pPr>
        <w:spacing w:after="0" w:line="1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Share representing the right to receive five thousand (5,000)</w:t>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fully paid ordinary shares, nominal value £0.0004 per share)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DEPOSITARY RECEIPT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DEPOSITED ORDINARY SHARES NOMINAL VALUE £0.0004 PER SHARE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NUCANA PLC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(Incorporated under the laws of England and Wales)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CITIBANK, N.A., a national banking association organized and existing under the laws of the United States of America, as depositary (the “Depositary”), hereby certifies that _____________is the owner of ______________ American Depositary</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Shares (hereinafter “ADS”) representing deposited ordinary shares, nominal value £0.0004 per share, including evidence of rights to receive such ordinary shares (the “Shares”), of NuCana plc, a public limited company incorporated under the laws of England and Wales (the “Company”). As of the date of issuance of this ADR, each ADS represents the right to five thousand (5,000) Shares deposited under the Deposit Agreement (as hereinafter defined) with the Custodian, which at the date of issuance of this ADR is Citibank, N.A., London Branch (the “Custodian”). The ADS(s)-to-Share(s) ratio is subject to amendment as provided in Articles IV and VI of the Deposit Agreement.</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The Depositary’s Principal Office is located at 388 Greenwich Street, New York, New York 10013, U.S.A.</w:t>
      </w:r>
    </w:p>
    <w:p>
      <w:pPr>
        <w:spacing w:after="0" w:line="202" w:lineRule="exact"/>
        <w:rPr>
          <w:sz w:val="20"/>
          <w:szCs w:val="20"/>
          <w:color w:val="auto"/>
        </w:rPr>
      </w:pPr>
    </w:p>
    <w:p>
      <w:pPr>
        <w:jc w:val="both"/>
        <w:ind w:firstLine="757"/>
        <w:spacing w:after="0" w:line="246" w:lineRule="exact"/>
        <w:tabs>
          <w:tab w:leader="none" w:pos="1181"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Deposit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American Depositary Receipt is one of an issue of American Depositary Receipts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(“ADRs”), all issued and to be issued upon the terms and conditions set forth in the Amended and Restated Deposit Agreement, dated as of May 7, 2025, as amended by Amendment No. 1 to Amended and Restated Deposit Agreement, dated as of August 11, 2025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or by continuing to hold, from and after the date hereof any American depositary shares issued and outstanding under the prior deposit agreement, dated as of October 2, 2017, as amended on April 16, 2024, shall be deemed for all purposes to (a) be a party to and bound by the terms of the Deposit Agreement and the applicable ADR(s), and (b) appoint the Depositary its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or Holder holds ADSs (e.g., in a brokerage account vs. as registered holder) may affect the rights and obligations of, the manner in which, and the extent to which, services are made available to them, pursuant to the terms of the Deposit Agreement. With respect to the foregoing sentence, neither the Depositary nor the Company shall bear any responsibility for any Beneficial Owner or Holder’s loss, liability, tax, charge or expense.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capitalized terms not defined herein shall have the meanings ascribed thereto in the Deposit Agreement.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ind w:right="20"/>
        <w:spacing w:after="0" w:line="258" w:lineRule="auto"/>
        <w:rPr>
          <w:sz w:val="20"/>
          <w:szCs w:val="20"/>
          <w:color w:val="auto"/>
        </w:rPr>
      </w:pPr>
      <w:r>
        <w:rPr>
          <w:rFonts w:ascii="Times New Roman" w:cs="Times New Roman" w:eastAsia="Times New Roman" w:hAnsi="Times New Roman"/>
          <w:sz w:val="22"/>
          <w:szCs w:val="22"/>
          <w:color w:val="auto"/>
        </w:rPr>
        <w:t>Depositary may issue Uncertificated ADSs subject, however, to the terms and conditions of Section 2.13 of the Deposit Agreement.</w:t>
      </w:r>
    </w:p>
    <w:p>
      <w:pPr>
        <w:spacing w:after="0" w:line="154" w:lineRule="exact"/>
        <w:rPr>
          <w:sz w:val="20"/>
          <w:szCs w:val="20"/>
          <w:color w:val="auto"/>
        </w:rPr>
      </w:pPr>
    </w:p>
    <w:p>
      <w:pPr>
        <w:ind w:left="1180" w:hanging="423"/>
        <w:spacing w:after="0"/>
        <w:tabs>
          <w:tab w:leader="none" w:pos="118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Surrender of ADSs and Withdrawal of Deposited Securities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Holder of this ADR (and of the ADSs evidenced hereby) shall be entitled to Delivery (at the Custodian’s designated office) of the Deposited Securities at the time represented by the ADSs evidenced hereby upon satisfaction of each of the following conditions: (i) the Holder (or a duly-authorized attorney of the Holder) has duly Delivered to the Depositary at its Principal Office the ADSs evidenced hereby (and if applicable, this ADR)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have been paid,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to the terms and conditions of the Deposit Agreement, of this ADR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4" w:name="page215"/>
    <w:bookmarkEnd w:id="21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and remit the proceeds of such sale (net of (a) applicable fees and charges of, and expenses incurred by, the Depositary and (b) applicable taxes withheld) to the person surrendering the ADSs.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74" w:lineRule="exact"/>
        <w:rPr>
          <w:sz w:val="20"/>
          <w:szCs w:val="20"/>
          <w:color w:val="auto"/>
        </w:rPr>
      </w:pPr>
    </w:p>
    <w:p>
      <w:pPr>
        <w:jc w:val="both"/>
        <w:ind w:firstLine="757"/>
        <w:spacing w:after="0" w:line="239" w:lineRule="auto"/>
        <w:tabs>
          <w:tab w:leader="none" w:pos="1181" w:val="left"/>
        </w:tabs>
        <w:numPr>
          <w:ilvl w:val="1"/>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Transfer, Combination and Split-up of ADRs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Registrar shall register the transfer of this ADR (and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ADSs represented hereby) on the books maintained for such purpose and the Depositary shall (x) cancel this ADR and execute new ADRs evidencing the same aggregate number of ADSs as those evidenced by this ADR when canceled by the Depositary,</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30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have been paid,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xml:space="preserve"> to the terms and conditions of this ADR, of the Deposit Agreement and of applicable law, in each case as in effect at the time thereof.</w:t>
      </w:r>
    </w:p>
    <w:p>
      <w:pPr>
        <w:spacing w:after="0" w:line="178"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1"/>
          <w:szCs w:val="21"/>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or combination hereof, and</w:t>
      </w:r>
    </w:p>
    <w:p>
      <w:pPr>
        <w:spacing w:after="0" w:line="4" w:lineRule="exact"/>
        <w:rPr>
          <w:sz w:val="20"/>
          <w:szCs w:val="20"/>
          <w:color w:val="auto"/>
        </w:rPr>
      </w:pPr>
    </w:p>
    <w:p>
      <w:pPr>
        <w:jc w:val="both"/>
        <w:ind w:firstLine="8"/>
        <w:spacing w:after="0" w:line="234" w:lineRule="auto"/>
        <w:tabs>
          <w:tab w:leader="none" w:pos="35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have been paid, </w:t>
      </w:r>
      <w:r>
        <w:rPr>
          <w:rFonts w:ascii="Times New Roman" w:cs="Times New Roman" w:eastAsia="Times New Roman" w:hAnsi="Times New Roman"/>
          <w:sz w:val="22"/>
          <w:szCs w:val="22"/>
          <w:i w:val="1"/>
          <w:iCs w:val="1"/>
          <w:color w:val="auto"/>
        </w:rPr>
        <w:t>subject, however, in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case</w:t>
      </w:r>
      <w:r>
        <w:rPr>
          <w:rFonts w:ascii="Times New Roman" w:cs="Times New Roman" w:eastAsia="Times New Roman" w:hAnsi="Times New Roman"/>
          <w:sz w:val="22"/>
          <w:szCs w:val="22"/>
          <w:color w:val="auto"/>
        </w:rPr>
        <w:t>, to the terms and conditions of this ADR, of the Deposit Agreement and of applicable law, in each case as in effect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thereof.</w:t>
      </w:r>
    </w:p>
    <w:p>
      <w:pPr>
        <w:spacing w:after="0" w:line="173" w:lineRule="exact"/>
        <w:rPr>
          <w:rFonts w:ascii="Times New Roman" w:cs="Times New Roman" w:eastAsia="Times New Roman" w:hAnsi="Times New Roman"/>
          <w:sz w:val="22"/>
          <w:szCs w:val="22"/>
          <w:color w:val="auto"/>
        </w:rPr>
      </w:pPr>
    </w:p>
    <w:p>
      <w:pPr>
        <w:ind w:firstLine="757"/>
        <w:spacing w:after="0" w:line="287" w:lineRule="exact"/>
        <w:tabs>
          <w:tab w:leader="none" w:pos="1208" w:val="left"/>
        </w:tabs>
        <w:numPr>
          <w:ilvl w:val="1"/>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Pre-Conditions to Registration, Transfer,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precedent to the execution and delivery,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of issuance, transfer, split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combination or surrender,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5" w:name="page216"/>
    <w:bookmarkEnd w:id="21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 If satisfaction of any condition precedent referred to above would involve an unlawful payment by the Company under the applicable laws of England and Wales, the Company and the Depositary shall reasonably cooperate to determine if there is a mutually agreeable lawful alternative, provided, that in no event shall the Company be required to make any unlawful payment, provided further, that in no event shall the Depositary be required to effect any transaction until it receives applicable payments with respect thereto, as provided herein and in the Deposit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jc w:val="both"/>
        <w:ind w:firstLine="757"/>
        <w:spacing w:after="0" w:line="237" w:lineRule="auto"/>
        <w:tabs>
          <w:tab w:leader="none" w:pos="1181"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Information Requests</w:t>
      </w:r>
      <w:r>
        <w:rPr>
          <w:rFonts w:ascii="Times New Roman" w:cs="Times New Roman" w:eastAsia="Times New Roman" w:hAnsi="Times New Roman"/>
          <w:sz w:val="22"/>
          <w:szCs w:val="22"/>
          <w:color w:val="auto"/>
        </w:rPr>
        <w:t>. Notwithstanding any other provision of the Deposit Agreement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ADR, each Holder and 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as to the capacity in which such Holder or Beneficial Owner owns ADSs (and the Shares represented by such ADSs, as the case may be) and regarding the identity of any other person(s)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6" w:name="page217"/>
    <w:bookmarkEnd w:id="216"/>
    <w:p>
      <w:pPr>
        <w:jc w:val="both"/>
        <w:spacing w:after="0" w:line="238" w:lineRule="auto"/>
        <w:rPr>
          <w:sz w:val="20"/>
          <w:szCs w:val="20"/>
          <w:color w:val="auto"/>
        </w:rPr>
      </w:pPr>
      <w:r>
        <w:rPr>
          <w:rFonts w:ascii="Times New Roman" w:cs="Times New Roman" w:eastAsia="Times New Roman" w:hAnsi="Times New Roman"/>
          <w:sz w:val="22"/>
          <w:szCs w:val="22"/>
          <w:color w:val="auto"/>
        </w:rPr>
        <w:t>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73" w:lineRule="exact"/>
        <w:rPr>
          <w:sz w:val="20"/>
          <w:szCs w:val="20"/>
          <w:color w:val="auto"/>
        </w:rPr>
      </w:pPr>
    </w:p>
    <w:p>
      <w:pPr>
        <w:jc w:val="both"/>
        <w:ind w:firstLine="757"/>
        <w:spacing w:after="0" w:line="233" w:lineRule="auto"/>
        <w:tabs>
          <w:tab w:leader="none" w:pos="1208"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Ownership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this ADR or of the Deposit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4" w:lineRule="exact"/>
        <w:rPr>
          <w:rFonts w:ascii="Times New Roman" w:cs="Times New Roman" w:eastAsia="Times New Roman" w:hAnsi="Times New Roman"/>
          <w:sz w:val="22"/>
          <w:szCs w:val="22"/>
          <w:b w:val="1"/>
          <w:bCs w:val="1"/>
          <w:color w:val="auto"/>
        </w:rPr>
      </w:pPr>
    </w:p>
    <w:p>
      <w:pPr>
        <w:jc w:val="both"/>
        <w:ind w:firstLine="757"/>
        <w:spacing w:after="0" w:line="247" w:lineRule="auto"/>
        <w:tabs>
          <w:tab w:leader="none" w:pos="1208" w:val="left"/>
        </w:tabs>
        <w:numPr>
          <w:ilvl w:val="0"/>
          <w:numId w:val="1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Reporting Obligations and Regulatory Approvals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laws and regulations may require holders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1" w:lineRule="exact"/>
        <w:rPr>
          <w:rFonts w:ascii="Times New Roman" w:cs="Times New Roman" w:eastAsia="Times New Roman" w:hAnsi="Times New Roman"/>
          <w:sz w:val="21"/>
          <w:szCs w:val="21"/>
          <w:b w:val="1"/>
          <w:bCs w:val="1"/>
          <w:color w:val="auto"/>
        </w:rPr>
      </w:pPr>
    </w:p>
    <w:p>
      <w:pPr>
        <w:jc w:val="both"/>
        <w:ind w:firstLine="757"/>
        <w:spacing w:after="0" w:line="235" w:lineRule="auto"/>
        <w:tabs>
          <w:tab w:leader="none" w:pos="1194"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Liability for Taxes and Other 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tax or other governmental charge payable by the Custodian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with respect to any Deposited Property, ADSs or this ADR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to register the transfer of ADSs, to register the split-up or combination of ADRs and (subject to</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7" w:name="page218"/>
    <w:bookmarkEnd w:id="217"/>
    <w:p>
      <w:pPr>
        <w:jc w:val="both"/>
        <w:spacing w:after="0" w:line="235" w:lineRule="auto"/>
        <w:rPr>
          <w:sz w:val="20"/>
          <w:szCs w:val="20"/>
          <w:color w:val="auto"/>
        </w:rPr>
      </w:pPr>
      <w:r>
        <w:rPr>
          <w:rFonts w:ascii="Times New Roman" w:cs="Times New Roman" w:eastAsia="Times New Roman" w:hAnsi="Times New Roman"/>
          <w:sz w:val="22"/>
          <w:szCs w:val="22"/>
          <w:color w:val="auto"/>
        </w:rPr>
        <w:t>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Section 3.2 of the Deposit Agreement shall survive any transfer of ADSs, any cancellation of ADSs and withdrawal of Deposited Securities, and the termination of the Deposit Agreement.</w:t>
      </w:r>
    </w:p>
    <w:p>
      <w:pPr>
        <w:spacing w:after="0" w:line="179" w:lineRule="exact"/>
        <w:rPr>
          <w:sz w:val="20"/>
          <w:szCs w:val="20"/>
          <w:color w:val="auto"/>
        </w:rPr>
      </w:pPr>
    </w:p>
    <w:p>
      <w:pPr>
        <w:jc w:val="both"/>
        <w:ind w:firstLine="757"/>
        <w:spacing w:after="0" w:line="233" w:lineRule="auto"/>
        <w:tabs>
          <w:tab w:leader="none" w:pos="1221"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on Deposit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person depositing Shares under the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4"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208" w:val="left"/>
        </w:tabs>
        <w:numPr>
          <w:ilvl w:val="0"/>
          <w:numId w:val="1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Proofs, Certificates and Other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person presenting Shares for deposit, any Holder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Beneficial Owner may be required, and every Holder and Beneficial Owner agrees, from time to time to provide to the Depositary and the Custodian such proof of citizenship or residence, taxpayer status, payment of all applicable taxes or other governmental charges relating to that person,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the terms of Section 7.8 of the Deposit Agreement, the delivery of any Deposited Property until such proof or other information is filed or such certifications are executed, or such representations and warranties are made, or such other documentation or information is provided, in each case to the Depositary’s, the Registrar’s and the Company’s satisfaction. The Depositary shall provide the Company, in a timely manner, with copies or originals if necessary and appropriate of (i) any such proofs of citizenship or residence, taxpayer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8" w:name="page219"/>
    <w:bookmarkEnd w:id="218"/>
    <w:p>
      <w:pPr>
        <w:jc w:val="both"/>
        <w:spacing w:after="0" w:line="236" w:lineRule="auto"/>
        <w:rPr>
          <w:sz w:val="20"/>
          <w:szCs w:val="20"/>
          <w:color w:val="auto"/>
        </w:rPr>
      </w:pPr>
      <w:r>
        <w:rPr>
          <w:rFonts w:ascii="Times New Roman" w:cs="Times New Roman" w:eastAsia="Times New Roman" w:hAnsi="Times New Roman"/>
          <w:sz w:val="22"/>
          <w:szCs w:val="22"/>
          <w:color w:val="auto"/>
        </w:rPr>
        <w:t>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7" w:lineRule="exact"/>
        <w:rPr>
          <w:sz w:val="20"/>
          <w:szCs w:val="20"/>
          <w:color w:val="auto"/>
        </w:rPr>
      </w:pPr>
    </w:p>
    <w:p>
      <w:pPr>
        <w:ind w:left="1180" w:hanging="423"/>
        <w:spacing w:after="0"/>
        <w:tabs>
          <w:tab w:leader="none" w:pos="118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ADS Fees and 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ADS fees are payable under the terms of the Deposit Agreement:</w:t>
      </w:r>
    </w:p>
    <w:p>
      <w:pPr>
        <w:spacing w:after="0" w:line="206" w:lineRule="exact"/>
        <w:rPr>
          <w:rFonts w:ascii="Times New Roman" w:cs="Times New Roman" w:eastAsia="Times New Roman" w:hAnsi="Times New Roman"/>
          <w:sz w:val="22"/>
          <w:szCs w:val="22"/>
          <w:b w:val="1"/>
          <w:bCs w:val="1"/>
          <w:color w:val="auto"/>
        </w:rPr>
      </w:pPr>
    </w:p>
    <w:p>
      <w:pPr>
        <w:ind w:left="2260" w:hanging="754"/>
        <w:spacing w:after="0" w:line="241" w:lineRule="auto"/>
        <w:tabs>
          <w:tab w:leader="none" w:pos="1943"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ADS Issuance Fee</w:t>
      </w:r>
      <w:r>
        <w:rPr>
          <w:rFonts w:ascii="Times New Roman" w:cs="Times New Roman" w:eastAsia="Times New Roman" w:hAnsi="Times New Roman"/>
          <w:sz w:val="22"/>
          <w:szCs w:val="22"/>
          <w:color w:val="auto"/>
        </w:rPr>
        <w:t>: by any person to whom the ADSs are issued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an issuance of ADSs upon a deposit of Shares, upon a change in the ADS(s)-to-Share(s) ratio, or for any other reason), excluding ADS issuances described in paragraph (iv) below, a fee not in excess of U.S. $5.00 per 100 ADSs (or fraction thereof) issued under the terms of the Deposit Agreement;</w:t>
      </w:r>
    </w:p>
    <w:p>
      <w:pPr>
        <w:spacing w:after="0" w:line="171" w:lineRule="exact"/>
        <w:rPr>
          <w:rFonts w:ascii="Times New Roman" w:cs="Times New Roman" w:eastAsia="Times New Roman" w:hAnsi="Times New Roman"/>
          <w:sz w:val="22"/>
          <w:szCs w:val="22"/>
          <w:b w:val="1"/>
          <w:bCs w:val="1"/>
          <w:color w:val="auto"/>
        </w:rPr>
      </w:pPr>
    </w:p>
    <w:p>
      <w:pPr>
        <w:ind w:left="2260" w:hanging="754"/>
        <w:spacing w:after="0" w:line="246" w:lineRule="auto"/>
        <w:tabs>
          <w:tab w:leader="none" w:pos="1943"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ADS Cancellation Fee</w:t>
      </w:r>
      <w:r>
        <w:rPr>
          <w:rFonts w:ascii="Times New Roman" w:cs="Times New Roman" w:eastAsia="Times New Roman" w:hAnsi="Times New Roman"/>
          <w:sz w:val="22"/>
          <w:szCs w:val="22"/>
          <w:color w:val="auto"/>
        </w:rPr>
        <w:t>: by any person whose ADSs are being cancelled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cancellation of ADSs for delivery of Deposited Shares, upon a change in the ADS(s)-to-Share(s) ratio, or for any other reason), a fee not in excess of U.S. $5.00 per 100 ADSs (or fraction thereof) cancelled;</w:t>
      </w:r>
    </w:p>
    <w:p>
      <w:pPr>
        <w:spacing w:after="0" w:line="171" w:lineRule="exact"/>
        <w:rPr>
          <w:rFonts w:ascii="Times New Roman" w:cs="Times New Roman" w:eastAsia="Times New Roman" w:hAnsi="Times New Roman"/>
          <w:sz w:val="22"/>
          <w:szCs w:val="22"/>
          <w:b w:val="1"/>
          <w:bCs w:val="1"/>
          <w:color w:val="auto"/>
        </w:rPr>
      </w:pPr>
    </w:p>
    <w:p>
      <w:pPr>
        <w:ind w:left="2260" w:hanging="754"/>
        <w:spacing w:after="0" w:line="244" w:lineRule="auto"/>
        <w:tabs>
          <w:tab w:leader="none" w:pos="1970"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Cash Distribution Fee</w:t>
      </w:r>
      <w:r>
        <w:rPr>
          <w:rFonts w:ascii="Times New Roman" w:cs="Times New Roman" w:eastAsia="Times New Roman" w:hAnsi="Times New Roman"/>
          <w:sz w:val="22"/>
          <w:szCs w:val="22"/>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upon sale of rights and other entitlements);</w:t>
      </w:r>
    </w:p>
    <w:p>
      <w:pPr>
        <w:spacing w:after="0" w:line="173" w:lineRule="exact"/>
        <w:rPr>
          <w:rFonts w:ascii="Times New Roman" w:cs="Times New Roman" w:eastAsia="Times New Roman" w:hAnsi="Times New Roman"/>
          <w:sz w:val="22"/>
          <w:szCs w:val="22"/>
          <w:b w:val="1"/>
          <w:bCs w:val="1"/>
          <w:color w:val="auto"/>
        </w:rPr>
      </w:pPr>
    </w:p>
    <w:p>
      <w:pPr>
        <w:ind w:left="2260" w:hanging="754"/>
        <w:spacing w:after="0" w:line="244" w:lineRule="auto"/>
        <w:tabs>
          <w:tab w:leader="none" w:pos="1957"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Stock Distribution /Rights Exercise Fee</w:t>
      </w:r>
      <w:r>
        <w:rPr>
          <w:rFonts w:ascii="Times New Roman" w:cs="Times New Roman" w:eastAsia="Times New Roman" w:hAnsi="Times New Roman"/>
          <w:sz w:val="22"/>
          <w:szCs w:val="22"/>
          <w:color w:val="auto"/>
        </w:rPr>
        <w:t>: by any Holder of ADS(s), a fee not in excess of U.S. $5.00 per 100 ADSs (or fraction thereof) held for the distribution of ADSs pursuant to (a) stock dividends or other free stock distributions, or (b) the exercise of rights to purchase additional ADSs;</w:t>
      </w:r>
    </w:p>
    <w:p>
      <w:pPr>
        <w:spacing w:after="0" w:line="173" w:lineRule="exact"/>
        <w:rPr>
          <w:rFonts w:ascii="Times New Roman" w:cs="Times New Roman" w:eastAsia="Times New Roman" w:hAnsi="Times New Roman"/>
          <w:sz w:val="22"/>
          <w:szCs w:val="22"/>
          <w:b w:val="1"/>
          <w:bCs w:val="1"/>
          <w:color w:val="auto"/>
        </w:rPr>
      </w:pPr>
    </w:p>
    <w:p>
      <w:pPr>
        <w:ind w:left="2260" w:hanging="754"/>
        <w:spacing w:after="0" w:line="258" w:lineRule="auto"/>
        <w:tabs>
          <w:tab w:leader="none" w:pos="1957"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Other Distribution Fee</w:t>
      </w:r>
      <w:r>
        <w:rPr>
          <w:rFonts w:ascii="Times New Roman" w:cs="Times New Roman" w:eastAsia="Times New Roman" w:hAnsi="Times New Roman"/>
          <w:sz w:val="22"/>
          <w:szCs w:val="22"/>
          <w:color w:val="auto"/>
        </w:rPr>
        <w:t>: by any Holder of ADS(s), a fee not in excess of U.S. $5.00 per 100 ADSs (or fraction thereof) held for the distribution 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9" w:name="page220"/>
    <w:bookmarkEnd w:id="219"/>
    <w:p>
      <w:pPr>
        <w:ind w:left="2260"/>
        <w:spacing w:after="0"/>
        <w:rPr>
          <w:sz w:val="20"/>
          <w:szCs w:val="20"/>
          <w:color w:val="auto"/>
        </w:rPr>
      </w:pPr>
      <w:r>
        <w:rPr>
          <w:rFonts w:ascii="Times New Roman" w:cs="Times New Roman" w:eastAsia="Times New Roman" w:hAnsi="Times New Roman"/>
          <w:sz w:val="22"/>
          <w:szCs w:val="22"/>
          <w:color w:val="auto"/>
        </w:rPr>
        <w:t>securities other than ADSs or rights to purchase additional ADSs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spin-off shares); and</w:t>
      </w:r>
    </w:p>
    <w:p>
      <w:pPr>
        <w:spacing w:after="0" w:line="210" w:lineRule="exact"/>
        <w:rPr>
          <w:sz w:val="20"/>
          <w:szCs w:val="20"/>
          <w:color w:val="auto"/>
        </w:rPr>
      </w:pPr>
    </w:p>
    <w:p>
      <w:pPr>
        <w:ind w:left="2260" w:right="20" w:hanging="754"/>
        <w:spacing w:after="0" w:line="258" w:lineRule="auto"/>
        <w:tabs>
          <w:tab w:leader="none" w:pos="1957"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Depositary Services Fee</w:t>
      </w:r>
      <w:r>
        <w:rPr>
          <w:rFonts w:ascii="Times New Roman" w:cs="Times New Roman" w:eastAsia="Times New Roman" w:hAnsi="Times New Roman"/>
          <w:sz w:val="22"/>
          <w:szCs w:val="22"/>
          <w:color w:val="auto"/>
        </w:rPr>
        <w:t>: by any Holder of ADS(s), a fee not in excess of U.S. $5.00 per 100 ADSs (or fraction thereof) held on the applicable record date(s) established by the Depositary.</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Company, Holders, Beneficial Owners, persons receiving ADSs upon issuance, and persons whose ADSs are being cancelled shall be responsible for the following ADS charges under the terms of the Deposit Agreement:</w:t>
      </w:r>
    </w:p>
    <w:p>
      <w:pPr>
        <w:spacing w:after="0" w:line="158" w:lineRule="exact"/>
        <w:rPr>
          <w:sz w:val="20"/>
          <w:szCs w:val="20"/>
          <w:color w:val="auto"/>
        </w:rPr>
      </w:pPr>
    </w:p>
    <w:p>
      <w:pPr>
        <w:ind w:left="1940" w:hanging="434"/>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(including applicable interest and penalties) and other governmental charges;</w:t>
      </w:r>
    </w:p>
    <w:p>
      <w:pPr>
        <w:spacing w:after="0" w:line="206" w:lineRule="exact"/>
        <w:rPr>
          <w:rFonts w:ascii="Times New Roman" w:cs="Times New Roman" w:eastAsia="Times New Roman" w:hAnsi="Times New Roman"/>
          <w:sz w:val="22"/>
          <w:szCs w:val="22"/>
          <w:color w:val="auto"/>
        </w:rPr>
      </w:pPr>
    </w:p>
    <w:p>
      <w:pPr>
        <w:ind w:left="2260" w:hanging="754"/>
        <w:spacing w:after="0" w:line="239" w:lineRule="auto"/>
        <w:tabs>
          <w:tab w:leader="none" w:pos="194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0" w:lineRule="exact"/>
        <w:rPr>
          <w:rFonts w:ascii="Times New Roman" w:cs="Times New Roman" w:eastAsia="Times New Roman" w:hAnsi="Times New Roman"/>
          <w:sz w:val="22"/>
          <w:szCs w:val="22"/>
          <w:color w:val="auto"/>
        </w:rPr>
      </w:pPr>
    </w:p>
    <w:p>
      <w:pPr>
        <w:ind w:left="2260" w:hanging="754"/>
        <w:spacing w:after="0" w:line="244" w:lineRule="auto"/>
        <w:tabs>
          <w:tab w:leader="none" w:pos="194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73"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expenses and charges incurred by the Depositary in the conversion of foreign currency;</w:t>
      </w:r>
    </w:p>
    <w:p>
      <w:pPr>
        <w:spacing w:after="0" w:line="206" w:lineRule="exact"/>
        <w:rPr>
          <w:rFonts w:ascii="Times New Roman" w:cs="Times New Roman" w:eastAsia="Times New Roman" w:hAnsi="Times New Roman"/>
          <w:sz w:val="22"/>
          <w:szCs w:val="22"/>
          <w:color w:val="auto"/>
        </w:rPr>
      </w:pPr>
    </w:p>
    <w:p>
      <w:pPr>
        <w:ind w:left="2260" w:right="20" w:hanging="754"/>
        <w:spacing w:after="0" w:line="244" w:lineRule="auto"/>
        <w:tabs>
          <w:tab w:leader="none" w:pos="194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fees and expenses as are incurred by the Depositary in connection with compliance with exchange control regulations and other regulatory requirements applicable to Shares, Deposited Securities, ADSs and ADRs; and</w:t>
      </w:r>
    </w:p>
    <w:p>
      <w:pPr>
        <w:spacing w:after="0" w:line="173"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fees and expenses incurred by the Depositary, the Custodian, or any nominee in connection with the delivery or servicing of Deposited Property.</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All ADS fees and charges so payable may be deducted from distributions or must be remitted to the Depositary, or its designee, may be waived by the Depositary in full or in part with respect to some or all ADSs upon such terms, and subject to such conditions, as the Depositary may determine and may, at any time and from time to time, be changed by agreement between the Depositary and the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ADS fees and charges payable upon (i) the issuance of ADSs and (ii) the cancellation of ADSs will be payable by the person to whom the ADSs are so issued by the Depositary (in the case of ADS issuances) and by the person whose ADSs are being cancelled (in the case of ADS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0" w:name="page221"/>
    <w:bookmarkEnd w:id="220"/>
    <w:p>
      <w:pPr>
        <w:jc w:val="both"/>
        <w:spacing w:after="0" w:line="233" w:lineRule="auto"/>
        <w:rPr>
          <w:sz w:val="20"/>
          <w:szCs w:val="20"/>
          <w:color w:val="auto"/>
        </w:rPr>
      </w:pPr>
      <w:r>
        <w:rPr>
          <w:rFonts w:ascii="Times New Roman" w:cs="Times New Roman" w:eastAsia="Times New Roman" w:hAnsi="Times New Roman"/>
          <w:sz w:val="22"/>
          <w:szCs w:val="22"/>
          <w:color w:val="auto"/>
        </w:rPr>
        <w:t>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6" w:lineRule="exact"/>
        <w:rPr>
          <w:sz w:val="20"/>
          <w:szCs w:val="20"/>
          <w:color w:val="auto"/>
        </w:rPr>
      </w:pPr>
    </w:p>
    <w:p>
      <w:pPr>
        <w:jc w:val="both"/>
        <w:ind w:firstLine="757"/>
        <w:spacing w:after="0" w:line="235" w:lineRule="auto"/>
        <w:tabs>
          <w:tab w:leader="none" w:pos="1181"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Title to ADRs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in the Deposit Agreement and in this ADR, it is a condition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ADR, and every 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1" w:name="page222"/>
    <w:bookmarkEnd w:id="221"/>
    <w:p>
      <w:pPr>
        <w:spacing w:after="0" w:line="258" w:lineRule="auto"/>
        <w:rPr>
          <w:sz w:val="20"/>
          <w:szCs w:val="20"/>
          <w:color w:val="auto"/>
        </w:rPr>
      </w:pPr>
      <w:r>
        <w:rPr>
          <w:rFonts w:ascii="Times New Roman" w:cs="Times New Roman" w:eastAsia="Times New Roman" w:hAnsi="Times New Roman"/>
          <w:sz w:val="22"/>
          <w:szCs w:val="22"/>
          <w:color w:val="auto"/>
        </w:rPr>
        <w:t>is the Holder of this ADR registered on the books of the Depositary or, in the case of a Beneficial Owner, such Beneficial Owner, or the Beneficial Owner’s representative, is the Holder registered on the books of the Depositary.</w:t>
      </w:r>
    </w:p>
    <w:p>
      <w:pPr>
        <w:spacing w:after="0" w:line="154" w:lineRule="exact"/>
        <w:rPr>
          <w:sz w:val="20"/>
          <w:szCs w:val="20"/>
          <w:color w:val="auto"/>
        </w:rPr>
      </w:pPr>
    </w:p>
    <w:p>
      <w:pPr>
        <w:jc w:val="both"/>
        <w:ind w:firstLine="757"/>
        <w:spacing w:after="0" w:line="239" w:lineRule="auto"/>
        <w:tabs>
          <w:tab w:leader="none" w:pos="1208" w:val="left"/>
        </w:tabs>
        <w:numPr>
          <w:ilvl w:val="1"/>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Validity of ADR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Holder(s) of this ADR (and the ADSs represented hereby) shall not be entitled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under the Deposit Agreement or be valid or enforceable for any purpose against the Depositary or the Company unless this ADR has been (i) dated, (ii) signed by the manual or facsimile signature of a duly-authorized signatory of the Depositary,</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3" w:lineRule="auto"/>
        <w:tabs>
          <w:tab w:leader="none" w:pos="38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7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Available Information; Reports; Inspection of Transfer Books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77"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2"/>
          <w:szCs w:val="22"/>
          <w:color w:val="auto"/>
        </w:rPr>
        <w:t>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ups of ADS(s) and, if applicable, to countersign ADRs evidencing the ADSs so issued, transferred, combined or split-up, in each case in accordance with the provisions of the Deposit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2" w:name="page223"/>
    <w:bookmarkEnd w:id="222"/>
    <w:p>
      <w:pPr>
        <w:jc w:val="both"/>
        <w:spacing w:after="0" w:line="258" w:lineRule="auto"/>
        <w:rPr>
          <w:sz w:val="20"/>
          <w:szCs w:val="20"/>
          <w:color w:val="auto"/>
        </w:rPr>
      </w:pPr>
      <w:r>
        <w:rPr>
          <w:rFonts w:ascii="Times New Roman" w:cs="Times New Roman" w:eastAsia="Times New Roman" w:hAnsi="Times New Roman"/>
          <w:sz w:val="22"/>
          <w:szCs w:val="22"/>
          <w:color w:val="auto"/>
        </w:rPr>
        <w:t>Holders of such ADSs in the interest of a business or object other than the business of the Company or other than a matter related to the Deposit Agreement or the ADSs.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ectPr>
          <w:pgSz w:w="11900" w:h="16838" w:orient="portrait"/>
          <w:cols w:equalWidth="0" w:num="1">
            <w:col w:w="11240"/>
          </w:cols>
          <w:pgMar w:left="320" w:top="1408" w:right="3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CITIBANK, N.A.</w:t>
      </w:r>
    </w:p>
    <w:p>
      <w:pPr>
        <w:ind w:left="100"/>
        <w:spacing w:after="0"/>
        <w:rPr>
          <w:sz w:val="20"/>
          <w:szCs w:val="20"/>
          <w:color w:val="auto"/>
        </w:rPr>
      </w:pPr>
      <w:r>
        <w:rPr>
          <w:rFonts w:ascii="Times New Roman" w:cs="Times New Roman" w:eastAsia="Times New Roman" w:hAnsi="Times New Roman"/>
          <w:sz w:val="21"/>
          <w:szCs w:val="21"/>
          <w:color w:val="auto"/>
        </w:rPr>
        <w:t>Transfer Agent and Registrar</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CITIBANK, 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Depositary</w:t>
      </w:r>
    </w:p>
    <w:p>
      <w:pPr>
        <w:spacing w:after="0" w:line="200" w:lineRule="exact"/>
        <w:rPr>
          <w:sz w:val="20"/>
          <w:szCs w:val="20"/>
          <w:color w:val="auto"/>
        </w:rPr>
      </w:pPr>
    </w:p>
    <w:p>
      <w:pPr>
        <w:sectPr>
          <w:pgSz w:w="11900" w:h="16838" w:orient="portrait"/>
          <w:cols w:equalWidth="0" w:num="2">
            <w:col w:w="5020" w:space="720"/>
            <w:col w:w="5500"/>
          </w:cols>
          <w:pgMar w:left="320" w:top="1408" w:right="339" w:bottom="1440" w:gutter="0" w:footer="0" w:header="0"/>
          <w:type w:val="continuous"/>
        </w:sectPr>
      </w:pP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By: ______________________</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ectPr>
          <w:pgSz w:w="11900" w:h="16838" w:orient="portrait"/>
          <w:cols w:equalWidth="0" w:num="2">
            <w:col w:w="5020" w:space="720"/>
            <w:col w:w="5500"/>
          </w:cols>
          <w:pgMar w:left="320" w:top="14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address of the Principal Office of the Depositary is 388 Greenwich Street, New York, New York 10013, U.S.A.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223" w:name="page224"/>
    <w:bookmarkEnd w:id="223"/>
    <w:p>
      <w:pPr>
        <w:jc w:val="center"/>
        <w:spacing w:after="0"/>
        <w:rPr>
          <w:sz w:val="20"/>
          <w:szCs w:val="20"/>
          <w:color w:val="auto"/>
        </w:rPr>
      </w:pPr>
      <w:r>
        <w:rPr>
          <w:rFonts w:ascii="Times New Roman" w:cs="Times New Roman" w:eastAsia="Times New Roman" w:hAnsi="Times New Roman"/>
          <w:sz w:val="22"/>
          <w:szCs w:val="22"/>
          <w:color w:val="auto"/>
        </w:rPr>
        <w:t>FORM OF REVERSE OF ADR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SUMMARY OF CERTAIN ADDITIONAL PROVISIONS</w:t>
      </w:r>
    </w:p>
    <w:p>
      <w:pPr>
        <w:jc w:val="center"/>
        <w:spacing w:after="0"/>
        <w:rPr>
          <w:sz w:val="20"/>
          <w:szCs w:val="20"/>
          <w:color w:val="auto"/>
        </w:rPr>
      </w:pPr>
      <w:r>
        <w:rPr>
          <w:rFonts w:ascii="Times New Roman" w:cs="Times New Roman" w:eastAsia="Times New Roman" w:hAnsi="Times New Roman"/>
          <w:sz w:val="22"/>
          <w:szCs w:val="22"/>
          <w:color w:val="auto"/>
        </w:rPr>
        <w:t>OF THE DEPOSIT AGREEMENT</w:t>
      </w:r>
    </w:p>
    <w:p>
      <w:pPr>
        <w:spacing w:after="0" w:line="176" w:lineRule="exact"/>
        <w:rPr>
          <w:sz w:val="20"/>
          <w:szCs w:val="20"/>
          <w:color w:val="auto"/>
        </w:rPr>
      </w:pPr>
    </w:p>
    <w:p>
      <w:pPr>
        <w:jc w:val="both"/>
        <w:ind w:firstLine="757"/>
        <w:spacing w:after="0" w:line="231" w:lineRule="auto"/>
        <w:tabs>
          <w:tab w:leader="none" w:pos="1194"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Dividends and Distributions in Cash, Shares,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Cash Distributions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the Company intends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make a distribution of a cash dividend or other cash distribution in 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record date applicable for determining the holders of Deposited Securities entitled to receive such distribution. Upon the timely receipt of such notice,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at the time of receipt thereof any amounts received in a Foreign Currency can, in the judgement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ind w:right="20"/>
        <w:spacing w:after="0" w:line="241" w:lineRule="auto"/>
        <w:rPr>
          <w:sz w:val="20"/>
          <w:szCs w:val="20"/>
          <w:color w:val="auto"/>
        </w:rPr>
      </w:pPr>
      <w:r>
        <w:rPr>
          <w:rFonts w:ascii="Times New Roman" w:cs="Times New Roman" w:eastAsia="Times New Roman" w:hAnsi="Times New Roman"/>
          <w:sz w:val="22"/>
          <w:szCs w:val="22"/>
          <w:color w:val="auto"/>
        </w:rPr>
        <w:t>contemplated in Section 4.1 of the Deposit Agreement where such notice has not been so timely given, other than its failure to use commercially reasonable efforts, as provided herein.</w:t>
      </w:r>
    </w:p>
    <w:p>
      <w:pPr>
        <w:spacing w:after="0" w:line="2" w:lineRule="exact"/>
        <w:rPr>
          <w:sz w:val="20"/>
          <w:szCs w:val="20"/>
          <w:color w:val="auto"/>
        </w:rPr>
      </w:pPr>
    </w:p>
    <w:p>
      <w:pPr>
        <w:jc w:val="both"/>
        <w:ind w:firstLine="757"/>
        <w:spacing w:after="0" w:line="230" w:lineRule="auto"/>
        <w:tabs>
          <w:tab w:leader="none" w:pos="113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Share Distributions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Whenever the Company intends to make a distribution that consists of a dividend in, or free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distribution of, Shares,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22"/>
          <w:szCs w:val="22"/>
          <w:i w:val="1"/>
          <w:iCs w:val="1"/>
          <w:color w:val="auto"/>
        </w:rPr>
        <w:t>inter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alia</w:t>
      </w:r>
      <w:r>
        <w:rPr>
          <w:rFonts w:ascii="Times New Roman" w:cs="Times New Roman" w:eastAsia="Times New Roman" w:hAnsi="Times New Roman"/>
          <w:sz w:val="22"/>
          <w:szCs w:val="22"/>
          <w:color w:val="auto"/>
        </w:rPr>
        <w:t>, the record date applicable to holders of Deposited Securities entitled to receive such distribution. Upon the timely receipt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9" w:lineRule="exact"/>
        <w:rPr>
          <w:rFonts w:ascii="Times New Roman" w:cs="Times New Roman" w:eastAsia="Times New Roman" w:hAnsi="Times New Roman"/>
          <w:sz w:val="22"/>
          <w:szCs w:val="22"/>
          <w:color w:val="auto"/>
        </w:rPr>
      </w:pPr>
    </w:p>
    <w:p>
      <w:pPr>
        <w:jc w:val="both"/>
        <w:ind w:firstLine="74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3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Elective Distributions in Cash or Shares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Whenever the Company intends to make a distribution payable at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election of the holders of Deposited Securities in cash or in additional Shares, the Company shall give notice thereof to the Depositary at least sixty (60) days (or such</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5" w:name="page226"/>
    <w:bookmarkEnd w:id="225"/>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other number of days as mutually agreed to in writing by the Depositary and the Company) prior to the proposed distribution specifying,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or if the Company requests such elective distribution not to be made available to Holders of ADSs, the Depositary shall, establish the ADS Record Date on the terms described in Section 4.9 of the Deposit Agreement and, to the extent permitted by law, distribute to the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or in the Deposit Agreement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0" w:lineRule="exact"/>
        <w:rPr>
          <w:sz w:val="20"/>
          <w:szCs w:val="20"/>
          <w:color w:val="auto"/>
        </w:rPr>
      </w:pPr>
    </w:p>
    <w:p>
      <w:pPr>
        <w:jc w:val="both"/>
        <w:ind w:firstLine="757"/>
        <w:spacing w:after="0" w:line="244" w:lineRule="auto"/>
        <w:tabs>
          <w:tab w:leader="none" w:pos="1109"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Distribution of Rights to Purchase Additional ADSs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Whenever the Company intends to distribute to the holders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Deposited 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p>
      <w:pPr>
        <w:jc w:val="both"/>
        <w:spacing w:after="0" w:line="242" w:lineRule="auto"/>
        <w:rPr>
          <w:sz w:val="20"/>
          <w:szCs w:val="20"/>
          <w:color w:val="auto"/>
        </w:rPr>
      </w:pPr>
      <w:r>
        <w:rPr>
          <w:rFonts w:ascii="Times New Roman" w:cs="Times New Roman" w:eastAsia="Times New Roman" w:hAnsi="Times New Roman"/>
          <w:sz w:val="21"/>
          <w:szCs w:val="21"/>
          <w:color w:val="auto"/>
        </w:rPr>
        <w:t>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jc w:val="both"/>
        <w:spacing w:after="0" w:line="233" w:lineRule="auto"/>
        <w:rPr>
          <w:sz w:val="20"/>
          <w:szCs w:val="20"/>
          <w:color w:val="auto"/>
        </w:rPr>
      </w:pPr>
      <w:r>
        <w:rPr>
          <w:rFonts w:ascii="Times New Roman" w:cs="Times New Roman" w:eastAsia="Times New Roman" w:hAnsi="Times New Roman"/>
          <w:sz w:val="22"/>
          <w:szCs w:val="22"/>
          <w:color w:val="auto"/>
        </w:rPr>
        <w:t>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6"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 w:lineRule="exact"/>
        <w:rPr>
          <w:sz w:val="20"/>
          <w:szCs w:val="20"/>
          <w:color w:val="auto"/>
        </w:rPr>
      </w:pPr>
    </w:p>
    <w:p>
      <w:pPr>
        <w:jc w:val="both"/>
        <w:ind w:firstLine="757"/>
        <w:spacing w:after="0" w:line="230" w:lineRule="auto"/>
        <w:tabs>
          <w:tab w:leader="none" w:pos="10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Distributions other than Cash, Shares or Rights to Purchase Shares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Whenever the Company intends to distribute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8" w:lineRule="exact"/>
        <w:rPr>
          <w:rFonts w:ascii="Times New Roman" w:cs="Times New Roman" w:eastAsia="Times New Roman" w:hAnsi="Times New Roman"/>
          <w:sz w:val="22"/>
          <w:szCs w:val="22"/>
          <w:color w:val="auto"/>
        </w:rPr>
      </w:pPr>
    </w:p>
    <w:p>
      <w:pPr>
        <w:jc w:val="both"/>
        <w:ind w:firstLine="74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the Deposit Agreement. If the Depositary is unable to sell such property, the Depositary may dispose of such property for the account of the Holders in any way it deems reasonably practicable under the circumstances.</w:t>
      </w:r>
    </w:p>
    <w:p>
      <w:pPr>
        <w:spacing w:after="0" w:line="3" w:lineRule="exact"/>
        <w:rPr>
          <w:rFonts w:ascii="Times New Roman" w:cs="Times New Roman" w:eastAsia="Times New Roman" w:hAnsi="Times New Roman"/>
          <w:sz w:val="22"/>
          <w:szCs w:val="22"/>
          <w:color w:val="auto"/>
        </w:rPr>
      </w:pPr>
    </w:p>
    <w:p>
      <w:pPr>
        <w:ind w:right="20" w:firstLine="74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Depositary nor the Company shall be liable for (i) any failure to accurately determine whether it is lawful or practicable to make the property described in Section 4.5 of the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spacing w:after="0" w:line="241" w:lineRule="auto"/>
        <w:rPr>
          <w:sz w:val="20"/>
          <w:szCs w:val="20"/>
          <w:color w:val="auto"/>
        </w:rPr>
      </w:pPr>
      <w:r>
        <w:rPr>
          <w:rFonts w:ascii="Times New Roman" w:cs="Times New Roman" w:eastAsia="Times New Roman" w:hAnsi="Times New Roman"/>
          <w:sz w:val="22"/>
          <w:szCs w:val="22"/>
          <w:color w:val="auto"/>
        </w:rPr>
        <w:t>Deposit Agreement available to Holders in general or any Holders in particular, nor (ii) any loss incurred in connection with the sale or disposal of such property.</w:t>
      </w:r>
    </w:p>
    <w:p>
      <w:pPr>
        <w:spacing w:after="0" w:line="2" w:lineRule="exact"/>
        <w:rPr>
          <w:sz w:val="20"/>
          <w:szCs w:val="20"/>
          <w:color w:val="auto"/>
        </w:rPr>
      </w:pPr>
    </w:p>
    <w:p>
      <w:pPr>
        <w:jc w:val="both"/>
        <w:ind w:firstLine="757"/>
        <w:spacing w:after="0" w:line="231" w:lineRule="auto"/>
        <w:tabs>
          <w:tab w:leader="none" w:pos="1208"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Redemption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Company intends to exercise any right of redemption in respect of any of the Deposited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the 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194" w:val="left"/>
        </w:tabs>
        <w:numPr>
          <w:ilvl w:val="0"/>
          <w:numId w:val="1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Fixing of ADS Record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Whenever the Depositary shall receive notice of the fixing of a record date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21"/>
          <w:szCs w:val="21"/>
          <w:u w:val="single" w:color="auto"/>
          <w:color w:val="auto"/>
        </w:rPr>
        <w:t>ADS Record Date</w:t>
      </w:r>
      <w:r>
        <w:rPr>
          <w:rFonts w:ascii="Times New Roman" w:cs="Times New Roman" w:eastAsia="Times New Roman" w:hAnsi="Times New Roman"/>
          <w:sz w:val="21"/>
          <w:szCs w:val="21"/>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both"/>
        <w:spacing w:after="0" w:line="236" w:lineRule="auto"/>
        <w:rPr>
          <w:sz w:val="20"/>
          <w:szCs w:val="20"/>
          <w:color w:val="auto"/>
        </w:rPr>
      </w:pPr>
      <w:r>
        <w:rPr>
          <w:rFonts w:ascii="Times New Roman" w:cs="Times New Roman" w:eastAsia="Times New Roman" w:hAnsi="Times New Roman"/>
          <w:sz w:val="22"/>
          <w:szCs w:val="22"/>
          <w:color w:val="auto"/>
        </w:rPr>
        <w:t>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provisions of Section 4.1 through 4.8 of the Deposit Agreement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77" w:lineRule="exact"/>
        <w:rPr>
          <w:sz w:val="20"/>
          <w:szCs w:val="20"/>
          <w:color w:val="auto"/>
        </w:rPr>
      </w:pPr>
    </w:p>
    <w:p>
      <w:pPr>
        <w:jc w:val="both"/>
        <w:ind w:firstLine="757"/>
        <w:spacing w:after="0" w:line="232" w:lineRule="auto"/>
        <w:tabs>
          <w:tab w:leader="none" w:pos="1181"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Voting of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soon as practicable after receipt of notice of any meeting at which the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Deposited 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Section 4.10 of the Deposit Agreement if no instructions are received prior to the deadline set forth for such purposes to the Depositary to give a discretionary proxy to a person designated by the Company.</w:t>
      </w:r>
    </w:p>
    <w:p>
      <w:pPr>
        <w:spacing w:after="0" w:line="4" w:lineRule="exact"/>
        <w:rPr>
          <w:rFonts w:ascii="Times New Roman" w:cs="Times New Roman" w:eastAsia="Times New Roman" w:hAnsi="Times New Roman"/>
          <w:sz w:val="22"/>
          <w:szCs w:val="22"/>
          <w:b w:val="1"/>
          <w:bCs w:val="1"/>
          <w:color w:val="auto"/>
        </w:rPr>
      </w:pPr>
    </w:p>
    <w:p>
      <w:pPr>
        <w:jc w:val="both"/>
        <w:ind w:firstLine="749"/>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3" w:lineRule="exact"/>
        <w:rPr>
          <w:rFonts w:ascii="Times New Roman" w:cs="Times New Roman" w:eastAsia="Times New Roman" w:hAnsi="Times New Roman"/>
          <w:sz w:val="22"/>
          <w:szCs w:val="22"/>
          <w:b w:val="1"/>
          <w:bCs w:val="1"/>
          <w:color w:val="auto"/>
        </w:rPr>
      </w:pPr>
    </w:p>
    <w:p>
      <w:pPr>
        <w:jc w:val="both"/>
        <w:ind w:firstLine="749"/>
        <w:spacing w:after="0" w:line="23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Depositary has been advised by the Company that under the Articles of Association of the Company as in effect on the date of the Deposit Agreement, voting at any meeting of shareholders of the Company is by show of hands unless (before or upon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not fewer than five shareholders present in person or by proxy and having the right to vote at the meeting, (c) any shareholder(s) present in person or by proxy and representing not less than 10% of the total voting rights of all the shareholders having the right to vote on the resolution (excluding any shares held in treasury), or (d) any shareholder(s) present in person or by proxy and holding shares in the Company conferring</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jc w:val="both"/>
        <w:spacing w:after="0" w:line="241" w:lineRule="auto"/>
        <w:rPr>
          <w:sz w:val="20"/>
          <w:szCs w:val="20"/>
          <w:color w:val="auto"/>
        </w:rPr>
      </w:pPr>
      <w:r>
        <w:rPr>
          <w:rFonts w:ascii="Times New Roman" w:cs="Times New Roman" w:eastAsia="Times New Roman" w:hAnsi="Times New Roman"/>
          <w:sz w:val="22"/>
          <w:szCs w:val="22"/>
          <w:color w:val="auto"/>
        </w:rPr>
        <w:t>a right to vote on the resolution being shares on which an aggregate sum has been paid up equal to not less than 10% of the total sum paid up on all the shares conferring that right (excluding any shares held in treasury).</w:t>
      </w:r>
    </w:p>
    <w:p>
      <w:pPr>
        <w:spacing w:after="0" w:line="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received from a majority of Holders of ADSs who provided voting instructions, and (b) 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voting instructions, and (b) as contemplated in Section 4.10 of the Deposit Agreement).</w:t>
      </w:r>
    </w:p>
    <w:p>
      <w:pPr>
        <w:spacing w:after="0" w:line="6"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jc w:val="both"/>
        <w:spacing w:after="0" w:line="236" w:lineRule="auto"/>
        <w:rPr>
          <w:sz w:val="20"/>
          <w:szCs w:val="20"/>
          <w:color w:val="auto"/>
        </w:rPr>
      </w:pPr>
      <w:r>
        <w:rPr>
          <w:rFonts w:ascii="Times New Roman" w:cs="Times New Roman" w:eastAsia="Times New Roman" w:hAnsi="Times New Roman"/>
          <w:sz w:val="22"/>
          <w:szCs w:val="22"/>
          <w:color w:val="auto"/>
        </w:rPr>
        <w:t>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 There can be no assurance that Holders generally or any Holder in particular will receive the notice described above with sufficient time to enable the Holder to return voting instructions to the Depositary in a timely manner.</w:t>
      </w:r>
    </w:p>
    <w:p>
      <w:pPr>
        <w:spacing w:after="0" w:line="1" w:lineRule="exact"/>
        <w:rPr>
          <w:sz w:val="20"/>
          <w:szCs w:val="20"/>
          <w:color w:val="auto"/>
        </w:rPr>
      </w:pPr>
    </w:p>
    <w:p>
      <w:pPr>
        <w:jc w:val="both"/>
        <w:ind w:firstLine="757"/>
        <w:spacing w:after="0" w:line="244" w:lineRule="exact"/>
        <w:tabs>
          <w:tab w:leader="none" w:pos="1221"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Changes Affecting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any change in nominal or par value, split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cancellation,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consolidation or 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2" w:lineRule="exact"/>
        <w:rPr>
          <w:rFonts w:ascii="Times New Roman" w:cs="Times New Roman" w:eastAsia="Times New Roman" w:hAnsi="Times New Roman"/>
          <w:sz w:val="22"/>
          <w:szCs w:val="22"/>
          <w:b w:val="1"/>
          <w:bCs w:val="1"/>
          <w:color w:val="auto"/>
        </w:rPr>
      </w:pPr>
    </w:p>
    <w:p>
      <w:pPr>
        <w:jc w:val="both"/>
        <w:ind w:firstLine="757"/>
        <w:spacing w:after="0" w:line="263" w:lineRule="auto"/>
        <w:tabs>
          <w:tab w:leader="none" w:pos="1181"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Exoneration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contained in the Deposit Agreement or any ADR, neither the Depositary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nor the Company shall be obligated to do or perform any act which is inconsistent with the provisions of the Deposit Agreement or incur any liability (i) if the Depositary or the Company shall be prevented or forbidden from, or delayed in, doing or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jc w:val="both"/>
        <w:spacing w:after="0" w:line="244" w:lineRule="auto"/>
        <w:rPr>
          <w:sz w:val="20"/>
          <w:szCs w:val="20"/>
          <w:color w:val="auto"/>
        </w:rPr>
      </w:pPr>
      <w:r>
        <w:rPr>
          <w:rFonts w:ascii="Times New Roman" w:cs="Times New Roman" w:eastAsia="Times New Roman" w:hAnsi="Times New Roman"/>
          <w:sz w:val="21"/>
          <w:szCs w:val="21"/>
          <w:color w:val="auto"/>
        </w:rPr>
        <w:t>performing any act or thing required by the terms of the Deposit Agreement or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 No disclaimer of liability under the Securities Act is intended by any provision of the Deposit Agreement or this ADR.</w:t>
      </w:r>
    </w:p>
    <w:p>
      <w:pPr>
        <w:spacing w:after="0" w:line="169" w:lineRule="exact"/>
        <w:rPr>
          <w:sz w:val="20"/>
          <w:szCs w:val="20"/>
          <w:color w:val="auto"/>
        </w:rPr>
      </w:pPr>
    </w:p>
    <w:p>
      <w:pPr>
        <w:jc w:val="both"/>
        <w:ind w:firstLine="757"/>
        <w:spacing w:after="0" w:line="233" w:lineRule="auto"/>
        <w:tabs>
          <w:tab w:leader="none" w:pos="1181"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Standard of Care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the Depositary assume no obligation and shall not be subject to any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Deposit Agreement or any ADRs to any Holder(s) or Beneficial Owner(s), except that the Company and the Depositary agree to perform their respective obligations specifically set forth in the Deposit Agreement or the applicable ADRs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4" w:lineRule="exact"/>
        <w:rPr>
          <w:rFonts w:ascii="Times New Roman" w:cs="Times New Roman" w:eastAsia="Times New Roman" w:hAnsi="Times New Roman"/>
          <w:sz w:val="22"/>
          <w:szCs w:val="22"/>
          <w:b w:val="1"/>
          <w:bCs w:val="1"/>
          <w:color w:val="auto"/>
        </w:rPr>
      </w:pPr>
    </w:p>
    <w:p>
      <w:pPr>
        <w:jc w:val="both"/>
        <w:ind w:firstLine="749"/>
        <w:spacing w:after="0" w:line="246" w:lineRule="exact"/>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worthiness of any third party, for allowing any rights to lapse upon the terms of the Deposit Agreement, for the failure or timeliness of any notice from the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3" w:name="page234"/>
    <w:bookmarkEnd w:id="233"/>
    <w:p>
      <w:pPr>
        <w:jc w:val="right"/>
        <w:spacing w:after="0" w:line="247" w:lineRule="auto"/>
        <w:rPr>
          <w:sz w:val="20"/>
          <w:szCs w:val="20"/>
          <w:color w:val="auto"/>
        </w:rPr>
      </w:pPr>
      <w:r>
        <w:rPr>
          <w:rFonts w:ascii="Times New Roman" w:cs="Times New Roman" w:eastAsia="Times New Roman" w:hAnsi="Times New Roman"/>
          <w:sz w:val="21"/>
          <w:szCs w:val="21"/>
          <w:color w:val="auto"/>
        </w:rPr>
        <w:t>Company, or for any action of or failure to act by, or any information provided or not provided by, DTC or any DTC Participant. 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w:t>
      </w:r>
    </w:p>
    <w:p>
      <w:pPr>
        <w:spacing w:after="0" w:line="232" w:lineRule="auto"/>
        <w:rPr>
          <w:sz w:val="20"/>
          <w:szCs w:val="20"/>
          <w:color w:val="auto"/>
        </w:rPr>
      </w:pPr>
      <w:r>
        <w:rPr>
          <w:rFonts w:ascii="Times New Roman" w:cs="Times New Roman" w:eastAsia="Times New Roman" w:hAnsi="Times New Roman"/>
          <w:sz w:val="22"/>
          <w:szCs w:val="22"/>
          <w:color w:val="auto"/>
        </w:rPr>
        <w:t>obligations without negligence or bad faith while it acted as Depositary.</w:t>
      </w: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 w:lineRule="exact"/>
        <w:rPr>
          <w:sz w:val="20"/>
          <w:szCs w:val="20"/>
          <w:color w:val="auto"/>
        </w:rPr>
      </w:pPr>
    </w:p>
    <w:p>
      <w:pPr>
        <w:jc w:val="both"/>
        <w:ind w:firstLine="757"/>
        <w:spacing w:after="0" w:line="231" w:lineRule="auto"/>
        <w:tabs>
          <w:tab w:leader="none" w:pos="1194"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Resignation and Removal of the Depositary; Appointment of Successor Depositary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may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resign as 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upon the appointment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77"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181"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of this paragraph (23), the Deposit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this ADR and any provisions of the Deposit Agreement may at any time and from time to time be amended or supplemented by written agreement between the Company and the Depositary in any respect which they may deem</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upon retrieval from the Commission’s, the Depositary’s or the Company’s website or upon request from the Depositary). The parties hereto agree that any amendments or supplements which</w:t>
      </w:r>
    </w:p>
    <w:p>
      <w:pPr>
        <w:spacing w:after="0" w:line="9" w:lineRule="exact"/>
        <w:rPr>
          <w:sz w:val="20"/>
          <w:szCs w:val="20"/>
          <w:color w:val="auto"/>
        </w:rPr>
      </w:pPr>
    </w:p>
    <w:p>
      <w:pPr>
        <w:jc w:val="both"/>
        <w:ind w:firstLine="8"/>
        <w:spacing w:after="0" w:line="231" w:lineRule="auto"/>
        <w:tabs>
          <w:tab w:leader="none" w:pos="25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194" w:val="left"/>
        </w:tabs>
        <w:numPr>
          <w:ilvl w:val="1"/>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shall, at any time at the written direction of the Company, terminate the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5" w:name="page236"/>
    <w:bookmarkEnd w:id="235"/>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w:t>
      </w:r>
    </w:p>
    <w:p>
      <w:pPr>
        <w:spacing w:after="0" w:line="1" w:lineRule="exact"/>
        <w:rPr>
          <w:sz w:val="20"/>
          <w:szCs w:val="20"/>
          <w:color w:val="auto"/>
        </w:rPr>
      </w:pPr>
    </w:p>
    <w:p>
      <w:pPr>
        <w:jc w:val="both"/>
        <w:ind w:firstLine="8"/>
        <w:spacing w:after="0" w:line="231" w:lineRule="auto"/>
        <w:tabs>
          <w:tab w:leader="none" w:pos="40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1"/>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U.S. Securities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provisions in this ADR or the Deposit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1"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194" w:val="left"/>
        </w:tabs>
        <w:numPr>
          <w:ilvl w:val="1"/>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Rights of the Depositary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its Affiliates and their agents, on their own behalf, may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deal in any class of securities of the Company and its Affiliates and in ADSs.</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221" w:val="left"/>
        </w:tabs>
        <w:numPr>
          <w:ilvl w:val="1"/>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Waiver of Jury Trial and Jurisdiction</w:t>
      </w:r>
      <w:r>
        <w:rPr>
          <w:rFonts w:ascii="Times New Roman" w:cs="Times New Roman" w:eastAsia="Times New Roman" w:hAnsi="Times New Roman"/>
          <w:sz w:val="22"/>
          <w:szCs w:val="22"/>
          <w:color w:val="auto"/>
        </w:rPr>
        <w:t>. The Deposit Agreement and the ADRs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interpreted in accordance with, and all 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jc w:val="both"/>
        <w:spacing w:after="0" w:line="241" w:lineRule="auto"/>
        <w:rPr>
          <w:sz w:val="20"/>
          <w:szCs w:val="20"/>
          <w:color w:val="auto"/>
        </w:rPr>
      </w:pPr>
      <w:r>
        <w:rPr>
          <w:rFonts w:ascii="Times New Roman" w:cs="Times New Roman" w:eastAsia="Times New Roman" w:hAnsi="Times New Roman"/>
          <w:sz w:val="22"/>
          <w:szCs w:val="22"/>
          <w:color w:val="auto"/>
        </w:rPr>
        <w:t>Deposited Securities, as such, shall be governed by the laws of England and Wales (or, if applicable, such other laws as may govern the Deposited Securities).</w:t>
      </w:r>
    </w:p>
    <w:p>
      <w:pPr>
        <w:spacing w:after="0" w:line="2"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7" w:name="page238"/>
    <w:bookmarkEnd w:id="237"/>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TRANSFER SIGNATURE LINES)</w:t>
      </w:r>
    </w:p>
    <w:p>
      <w:pPr>
        <w:spacing w:after="0" w:line="48" w:lineRule="exact"/>
        <w:rPr>
          <w:sz w:val="20"/>
          <w:szCs w:val="20"/>
          <w:color w:val="auto"/>
        </w:rPr>
      </w:pPr>
    </w:p>
    <w:p>
      <w:pPr>
        <w:jc w:val="center"/>
        <w:spacing w:after="0"/>
        <w:tabs>
          <w:tab w:leader="none" w:pos="300" w:val="left"/>
          <w:tab w:leader="none" w:pos="300" w:val="left"/>
          <w:tab w:leader="none" w:pos="300" w:val="left"/>
          <w:tab w:leader="none" w:pos="300" w:val="left"/>
          <w:tab w:leader="none" w:pos="300" w:val="left"/>
          <w:tab w:leader="none" w:pos="300" w:val="left"/>
          <w:tab w:leader="none" w:pos="300" w:val="left"/>
          <w:tab w:leader="none" w:pos="300" w:val="left"/>
          <w:tab w:leader="none" w:pos="300" w:val="left"/>
          <w:tab w:leader="none" w:pos="300" w:val="left"/>
          <w:tab w:leader="none" w:pos="300" w:val="left"/>
        </w:tabs>
        <w:rPr>
          <w:sz w:val="20"/>
          <w:szCs w:val="20"/>
          <w:color w:val="auto"/>
        </w:rPr>
      </w:pPr>
      <w:r>
        <w:rPr>
          <w:rFonts w:ascii="Times New Roman" w:cs="Times New Roman" w:eastAsia="Times New Roman" w:hAnsi="Times New Roman"/>
          <w:sz w:val="22"/>
          <w:szCs w:val="22"/>
          <w:color w:val="auto"/>
        </w:rPr>
        <w:t>FOR</w:t>
        <w:tab/>
        <w:t>VALUE</w:t>
        <w:tab/>
        <w:t>RECEIVED,</w:t>
        <w:tab/>
        <w:t>the</w:t>
        <w:tab/>
        <w:t>undersigned</w:t>
        <w:tab/>
        <w:t>Holder</w:t>
        <w:tab/>
        <w:t>hereby</w:t>
        <w:tab/>
        <w:t>sell(s),</w:t>
        <w:tab/>
        <w:t>assign(s)</w:t>
        <w:tab/>
        <w:t>and</w:t>
        <w:tab/>
        <w:t>transfer(s)</w:t>
        <w:tab/>
        <w:t>unto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 whose taxpayer identification number is _______________________ and whose address</w:t>
      </w:r>
    </w:p>
    <w:p>
      <w:pPr>
        <w:spacing w:after="0" w:line="235" w:lineRule="auto"/>
        <w:rPr>
          <w:sz w:val="20"/>
          <w:szCs w:val="20"/>
          <w:color w:val="auto"/>
        </w:rPr>
      </w:pPr>
      <w:r>
        <w:rPr>
          <w:rFonts w:ascii="Times New Roman" w:cs="Times New Roman" w:eastAsia="Times New Roman" w:hAnsi="Times New Roman"/>
          <w:sz w:val="22"/>
          <w:szCs w:val="22"/>
          <w:color w:val="auto"/>
        </w:rPr>
        <w:t>including postal zip code is ________________, the within ADR and all rights thereunder, hereby irrevocably constituting and</w:t>
      </w:r>
    </w:p>
    <w:p>
      <w:pPr>
        <w:spacing w:after="0" w:line="1"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appointing ________________________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to transfer said ADR on the books of the Depositary with full power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substitution in the premises.</w:t>
      </w:r>
    </w:p>
    <w:p>
      <w:pPr>
        <w:spacing w:after="0" w:line="398"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Name: ________________________________</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Title:</w:t>
      </w:r>
    </w:p>
    <w:p>
      <w:pPr>
        <w:spacing w:after="0" w:line="341" w:lineRule="exact"/>
        <w:rPr>
          <w:sz w:val="20"/>
          <w:szCs w:val="20"/>
          <w:color w:val="auto"/>
        </w:rPr>
      </w:pPr>
    </w:p>
    <w:p>
      <w:pPr>
        <w:jc w:val="both"/>
        <w:ind w:left="4500"/>
        <w:spacing w:after="0" w:line="244" w:lineRule="auto"/>
        <w:rPr>
          <w:sz w:val="20"/>
          <w:szCs w:val="20"/>
          <w:color w:val="auto"/>
        </w:rPr>
      </w:pPr>
      <w:r>
        <w:rPr>
          <w:rFonts w:ascii="Times New Roman" w:cs="Times New Roman" w:eastAsia="Times New Roman" w:hAnsi="Times New Roman"/>
          <w:sz w:val="22"/>
          <w:szCs w:val="22"/>
          <w:color w:val="auto"/>
        </w:rPr>
        <w:t>NOTICE: The signature of the Holder to this assignment must correspond with the name as written upon the face of the within instrument in every particular, without alteration or enlargement or any change whatsoever.</w:t>
      </w:r>
    </w:p>
    <w:p>
      <w:pPr>
        <w:spacing w:after="0" w:line="281" w:lineRule="exact"/>
        <w:rPr>
          <w:sz w:val="20"/>
          <w:szCs w:val="20"/>
          <w:color w:val="auto"/>
        </w:rPr>
      </w:pPr>
    </w:p>
    <w:p>
      <w:pPr>
        <w:jc w:val="both"/>
        <w:ind w:left="4500"/>
        <w:spacing w:after="0" w:line="238" w:lineRule="auto"/>
        <w:rPr>
          <w:sz w:val="20"/>
          <w:szCs w:val="20"/>
          <w:color w:val="auto"/>
        </w:rPr>
      </w:pPr>
      <w:r>
        <w:rPr>
          <w:rFonts w:ascii="Times New Roman" w:cs="Times New Roman" w:eastAsia="Times New Roman" w:hAnsi="Times New Roman"/>
          <w:sz w:val="22"/>
          <w:szCs w:val="22"/>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ADR.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314" w:lineRule="exact"/>
        <w:rPr>
          <w:sz w:val="20"/>
          <w:szCs w:val="20"/>
          <w:color w:val="auto"/>
        </w:rPr>
      </w:pPr>
    </w:p>
    <w:p>
      <w:pPr>
        <w:jc w:val="both"/>
        <w:ind w:left="4500"/>
        <w:spacing w:after="0" w:line="244" w:lineRule="auto"/>
        <w:rPr>
          <w:sz w:val="20"/>
          <w:szCs w:val="20"/>
          <w:color w:val="auto"/>
        </w:rPr>
      </w:pPr>
      <w:r>
        <w:rPr>
          <w:rFonts w:ascii="Times New Roman" w:cs="Times New Roman" w:eastAsia="Times New Roman" w:hAnsi="Times New Roman"/>
          <w:sz w:val="22"/>
          <w:szCs w:val="22"/>
          <w:color w:val="auto"/>
        </w:rPr>
        <w:t>All endorsements or assignments of ADRs must be guaranteed by a member of a Medallion Signature Program approved by the Securities Transfer Association, Inc.</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Legends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Form of Depositary Notice</w:t>
      </w:r>
    </w:p>
    <w:p>
      <w:pPr>
        <w:spacing w:after="0" w:line="20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u w:val="single" w:color="auto"/>
          <w:color w:val="auto"/>
        </w:rPr>
        <w:t>UPDATED NOTICE OF ADS RATIO CHANGE / REVERSE SPLIT</w:t>
      </w:r>
    </w:p>
    <w:p>
      <w:pPr>
        <w:spacing w:after="0" w:line="21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To Holders of American Depositary Shares (“</w:t>
      </w:r>
      <w:r>
        <w:rPr>
          <w:rFonts w:ascii="Times New Roman" w:cs="Times New Roman" w:eastAsia="Times New Roman" w:hAnsi="Times New Roman"/>
          <w:sz w:val="22"/>
          <w:szCs w:val="22"/>
          <w:u w:val="single" w:color="auto"/>
          <w:color w:val="auto"/>
        </w:rPr>
        <w:t>ADS</w:t>
      </w:r>
      <w:r>
        <w:rPr>
          <w:rFonts w:ascii="Times New Roman" w:cs="Times New Roman" w:eastAsia="Times New Roman" w:hAnsi="Times New Roman"/>
          <w:sz w:val="22"/>
          <w:szCs w:val="22"/>
          <w:color w:val="auto"/>
        </w:rPr>
        <w: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NuCana plc</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200" w:type="dxa"/>
            <w:vAlign w:val="bottom"/>
            <w:tcBorders>
              <w:top w:val="single" w:sz="8" w:color="auto"/>
              <w:left w:val="single" w:sz="8" w:color="auto"/>
              <w:right w:val="single" w:sz="8" w:color="auto"/>
            </w:tcBorders>
          </w:tcPr>
          <w:p>
            <w:pPr>
              <w:ind w:left="120"/>
              <w:spacing w:after="0" w:line="232" w:lineRule="exact"/>
              <w:rPr>
                <w:sz w:val="20"/>
                <w:szCs w:val="20"/>
                <w:color w:val="auto"/>
              </w:rPr>
            </w:pPr>
            <w:r>
              <w:rPr>
                <w:rFonts w:ascii="Times New Roman" w:cs="Times New Roman" w:eastAsia="Times New Roman" w:hAnsi="Times New Roman"/>
                <w:sz w:val="22"/>
                <w:szCs w:val="22"/>
                <w:color w:val="auto"/>
              </w:rPr>
              <w:t>Company:</w:t>
            </w:r>
          </w:p>
        </w:tc>
        <w:tc>
          <w:tcPr>
            <w:tcW w:w="6040" w:type="dxa"/>
            <w:vAlign w:val="bottom"/>
            <w:tcBorders>
              <w:top w:val="single" w:sz="8" w:color="auto"/>
            </w:tcBorders>
            <w:gridSpan w:val="3"/>
          </w:tcPr>
          <w:p>
            <w:pPr>
              <w:ind w:left="100"/>
              <w:spacing w:after="0" w:line="232" w:lineRule="exact"/>
              <w:rPr>
                <w:sz w:val="20"/>
                <w:szCs w:val="20"/>
                <w:color w:val="auto"/>
              </w:rPr>
            </w:pPr>
            <w:r>
              <w:rPr>
                <w:rFonts w:ascii="Times New Roman" w:cs="Times New Roman" w:eastAsia="Times New Roman" w:hAnsi="Times New Roman"/>
                <w:sz w:val="22"/>
                <w:szCs w:val="22"/>
                <w:color w:val="auto"/>
              </w:rPr>
              <w:t>NuCana plc, a public limited company incorporated under the laws</w:t>
            </w:r>
          </w:p>
        </w:tc>
      </w:tr>
      <w:tr>
        <w:trPr>
          <w:trHeight w:val="282"/>
        </w:trPr>
        <w:tc>
          <w:tcPr>
            <w:tcW w:w="5200" w:type="dxa"/>
            <w:vAlign w:val="bottom"/>
            <w:tcBorders>
              <w:left w:val="single" w:sz="8" w:color="auto"/>
              <w:right w:val="single" w:sz="8" w:color="auto"/>
            </w:tcBorders>
          </w:tcPr>
          <w:p>
            <w:pPr>
              <w:spacing w:after="0"/>
              <w:rPr>
                <w:sz w:val="24"/>
                <w:szCs w:val="24"/>
                <w:color w:val="auto"/>
              </w:rPr>
            </w:pP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of England and Wales.</w:t>
            </w:r>
          </w:p>
        </w:tc>
      </w:tr>
      <w:tr>
        <w:trPr>
          <w:trHeight w:val="133"/>
        </w:trPr>
        <w:tc>
          <w:tcPr>
            <w:tcW w:w="520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80" w:type="dxa"/>
            <w:vAlign w:val="bottom"/>
            <w:tcBorders>
              <w:bottom w:val="single" w:sz="8" w:color="auto"/>
            </w:tcBorders>
          </w:tcPr>
          <w:p>
            <w:pPr>
              <w:spacing w:after="0"/>
              <w:rPr>
                <w:sz w:val="11"/>
                <w:szCs w:val="11"/>
                <w:color w:val="auto"/>
              </w:rPr>
            </w:pPr>
          </w:p>
        </w:tc>
      </w:tr>
      <w:tr>
        <w:trPr>
          <w:trHeight w:val="242"/>
        </w:trPr>
        <w:tc>
          <w:tcPr>
            <w:tcW w:w="5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60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Citibank, N.A.</w:t>
            </w:r>
          </w:p>
        </w:tc>
      </w:tr>
      <w:tr>
        <w:trPr>
          <w:trHeight w:val="65"/>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Custodian:</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Citibank N.A., London Branch.</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09"/>
        </w:trPr>
        <w:tc>
          <w:tcPr>
            <w:tcW w:w="520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Deposited Securities:</w:t>
            </w:r>
          </w:p>
        </w:tc>
        <w:tc>
          <w:tcPr>
            <w:tcW w:w="6040" w:type="dxa"/>
            <w:vAlign w:val="bottom"/>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Ordinary Shares of the Company, nominal value £0.0004 per share</w:t>
            </w:r>
          </w:p>
        </w:tc>
      </w:tr>
      <w:tr>
        <w:trPr>
          <w:trHeight w:val="230"/>
        </w:trPr>
        <w:tc>
          <w:tcPr>
            <w:tcW w:w="5200" w:type="dxa"/>
            <w:vAlign w:val="bottom"/>
          </w:tcPr>
          <w:p>
            <w:pPr>
              <w:spacing w:after="0"/>
              <w:rPr>
                <w:sz w:val="19"/>
                <w:szCs w:val="19"/>
                <w:color w:val="auto"/>
              </w:rPr>
            </w:pPr>
          </w:p>
        </w:tc>
        <w:tc>
          <w:tcPr>
            <w:tcW w:w="60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22"/>
                <w:szCs w:val="22"/>
                <w:color w:val="auto"/>
              </w:rPr>
              <w:t>(the “Shares”).</w:t>
            </w:r>
          </w:p>
        </w:tc>
      </w:tr>
      <w:tr>
        <w:trPr>
          <w:trHeight w:val="128"/>
        </w:trPr>
        <w:tc>
          <w:tcPr>
            <w:tcW w:w="5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4880" w:type="dxa"/>
            <w:vAlign w:val="bottom"/>
            <w:tcBorders>
              <w:bottom w:val="single" w:sz="8" w:color="auto"/>
            </w:tcBorders>
          </w:tcPr>
          <w:p>
            <w:pPr>
              <w:spacing w:after="0"/>
              <w:rPr>
                <w:sz w:val="11"/>
                <w:szCs w:val="11"/>
                <w:color w:val="auto"/>
              </w:rPr>
            </w:pPr>
          </w:p>
        </w:tc>
      </w:tr>
      <w:tr>
        <w:trPr>
          <w:trHeight w:val="209"/>
        </w:trPr>
        <w:tc>
          <w:tcPr>
            <w:tcW w:w="520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Deposit Agreement:</w:t>
            </w:r>
          </w:p>
        </w:tc>
        <w:tc>
          <w:tcPr>
            <w:tcW w:w="6040" w:type="dxa"/>
            <w:vAlign w:val="bottom"/>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Amended and Restated Deposit Agreement, dated as of May 7,</w:t>
            </w:r>
          </w:p>
        </w:tc>
      </w:tr>
      <w:tr>
        <w:trPr>
          <w:trHeight w:val="243"/>
        </w:trPr>
        <w:tc>
          <w:tcPr>
            <w:tcW w:w="5200" w:type="dxa"/>
            <w:vAlign w:val="bottom"/>
          </w:tcPr>
          <w:p>
            <w:pPr>
              <w:spacing w:after="0"/>
              <w:rPr>
                <w:sz w:val="21"/>
                <w:szCs w:val="21"/>
                <w:color w:val="auto"/>
              </w:rPr>
            </w:pPr>
          </w:p>
        </w:tc>
        <w:tc>
          <w:tcPr>
            <w:tcW w:w="60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2025, by and among the Company, the Depositary and all Holders</w:t>
            </w:r>
          </w:p>
        </w:tc>
      </w:tr>
      <w:tr>
        <w:trPr>
          <w:trHeight w:val="243"/>
        </w:trPr>
        <w:tc>
          <w:tcPr>
            <w:tcW w:w="5200" w:type="dxa"/>
            <w:vAlign w:val="bottom"/>
          </w:tcPr>
          <w:p>
            <w:pPr>
              <w:spacing w:after="0"/>
              <w:rPr>
                <w:sz w:val="21"/>
                <w:szCs w:val="21"/>
                <w:color w:val="auto"/>
              </w:rPr>
            </w:pPr>
          </w:p>
        </w:tc>
        <w:tc>
          <w:tcPr>
            <w:tcW w:w="60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and Beneficial Owners of American Depositary Shares issued</w:t>
            </w:r>
          </w:p>
        </w:tc>
      </w:tr>
      <w:tr>
        <w:trPr>
          <w:trHeight w:val="282"/>
        </w:trPr>
        <w:tc>
          <w:tcPr>
            <w:tcW w:w="5200" w:type="dxa"/>
            <w:vAlign w:val="bottom"/>
          </w:tcPr>
          <w:p>
            <w:pPr>
              <w:spacing w:after="0"/>
              <w:rPr>
                <w:sz w:val="24"/>
                <w:szCs w:val="24"/>
                <w:color w:val="auto"/>
              </w:rPr>
            </w:pP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thereunder.</w:t>
            </w:r>
          </w:p>
        </w:tc>
      </w:tr>
      <w:tr>
        <w:trPr>
          <w:trHeight w:val="96"/>
        </w:trPr>
        <w:tc>
          <w:tcPr>
            <w:tcW w:w="5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ADS Symbol:</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NCNA.*</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Existing ADS CUSIP No.:</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67022C205.*</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New ADS CUSIP No.:</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67022C304.*</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Existing ADS ISIN:</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US67022C2052.*</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New ADS ISIN:</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US67022C3043.*</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76"/>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Effective Date:</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August 11, 2025.</w:t>
            </w:r>
          </w:p>
        </w:tc>
      </w:tr>
      <w:tr>
        <w:trPr>
          <w:trHeight w:val="69"/>
        </w:trPr>
        <w:tc>
          <w:tcPr>
            <w:tcW w:w="5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r>
        <w:trPr>
          <w:trHeight w:val="209"/>
        </w:trPr>
        <w:tc>
          <w:tcPr>
            <w:tcW w:w="520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ADS Books Closure to ADS Issuances and</w:t>
            </w:r>
          </w:p>
        </w:tc>
        <w:tc>
          <w:tcPr>
            <w:tcW w:w="6040" w:type="dxa"/>
            <w:vAlign w:val="bottom"/>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August 1, 2025 (5:00 p.m. New York time) until August 11, 2025</w:t>
            </w:r>
          </w:p>
        </w:tc>
      </w:tr>
      <w:tr>
        <w:trPr>
          <w:trHeight w:val="282"/>
        </w:trPr>
        <w:tc>
          <w:tcPr>
            <w:tcW w:w="5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Cancellations:</w:t>
            </w:r>
          </w:p>
        </w:tc>
        <w:tc>
          <w:tcPr>
            <w:tcW w:w="60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(5:00 p.m. New York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-3641725</wp:posOffset>
            </wp:positionV>
            <wp:extent cx="7132320" cy="37115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7132320" cy="3711575"/>
                    </a:xfrm>
                    <a:prstGeom prst="rect">
                      <a:avLst/>
                    </a:prstGeom>
                    <a:noFill/>
                  </pic:spPr>
                </pic:pic>
              </a:graphicData>
            </a:graphic>
          </wp:anchor>
        </w:drawing>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*Each of the ADS Symbol, Existing ADS ISIN, New ADS ISIN, Existing ADS CUSIP No. and New ADS CUSIP No. are provided for convenience only and without any liability for accuracy.</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and the Depositary have agreed to change the Existing ADS-to-Share Ratio (the “</w:t>
      </w:r>
      <w:r>
        <w:rPr>
          <w:rFonts w:ascii="Times New Roman" w:cs="Times New Roman" w:eastAsia="Times New Roman" w:hAnsi="Times New Roman"/>
          <w:sz w:val="22"/>
          <w:szCs w:val="22"/>
          <w:u w:val="single" w:color="auto"/>
          <w:color w:val="auto"/>
        </w:rPr>
        <w:t>ADS Ratio Change</w:t>
      </w:r>
      <w:r>
        <w:rPr>
          <w:rFonts w:ascii="Times New Roman" w:cs="Times New Roman" w:eastAsia="Times New Roman" w:hAnsi="Times New Roman"/>
          <w:sz w:val="22"/>
          <w:szCs w:val="22"/>
          <w:color w:val="auto"/>
        </w:rPr>
        <w:t>”) as of the Effective Date as follows:</w:t>
      </w:r>
    </w:p>
    <w:p>
      <w:pPr>
        <w:spacing w:after="0" w:line="154" w:lineRule="exact"/>
        <w:rPr>
          <w:sz w:val="20"/>
          <w:szCs w:val="20"/>
          <w:color w:val="auto"/>
        </w:rPr>
      </w:pPr>
    </w:p>
    <w:p>
      <w:pPr>
        <w:ind w:left="760"/>
        <w:spacing w:after="0"/>
        <w:tabs>
          <w:tab w:leader="none" w:pos="3760" w:val="left"/>
        </w:tabs>
        <w:rPr>
          <w:sz w:val="20"/>
          <w:szCs w:val="20"/>
          <w:color w:val="auto"/>
        </w:rPr>
      </w:pPr>
      <w:r>
        <w:rPr>
          <w:rFonts w:ascii="Times New Roman" w:cs="Times New Roman" w:eastAsia="Times New Roman" w:hAnsi="Times New Roman"/>
          <w:sz w:val="22"/>
          <w:szCs w:val="22"/>
          <w:b w:val="1"/>
          <w:bCs w:val="1"/>
          <w:color w:val="auto"/>
        </w:rPr>
        <w:t>Existing ADS-to-Share Ratio:</w:t>
      </w:r>
      <w:r>
        <w:rPr>
          <w:sz w:val="20"/>
          <w:szCs w:val="20"/>
          <w:color w:val="auto"/>
        </w:rPr>
        <w:tab/>
      </w:r>
      <w:r>
        <w:rPr>
          <w:rFonts w:ascii="Times New Roman" w:cs="Times New Roman" w:eastAsia="Times New Roman" w:hAnsi="Times New Roman"/>
          <w:sz w:val="21"/>
          <w:szCs w:val="21"/>
          <w:b w:val="1"/>
          <w:bCs w:val="1"/>
          <w:color w:val="auto"/>
        </w:rPr>
        <w:t>One (1) ADS to twenty-five (25) Shares</w:t>
      </w:r>
    </w:p>
    <w:p>
      <w:pPr>
        <w:spacing w:after="0" w:line="206" w:lineRule="exact"/>
        <w:rPr>
          <w:sz w:val="20"/>
          <w:szCs w:val="20"/>
          <w:color w:val="auto"/>
        </w:rPr>
      </w:pPr>
    </w:p>
    <w:p>
      <w:pPr>
        <w:ind w:left="760"/>
        <w:spacing w:after="0"/>
        <w:tabs>
          <w:tab w:leader="none" w:pos="3320" w:val="left"/>
        </w:tabs>
        <w:rPr>
          <w:sz w:val="20"/>
          <w:szCs w:val="20"/>
          <w:color w:val="auto"/>
        </w:rPr>
      </w:pPr>
      <w:r>
        <w:rPr>
          <w:rFonts w:ascii="Times New Roman" w:cs="Times New Roman" w:eastAsia="Times New Roman" w:hAnsi="Times New Roman"/>
          <w:sz w:val="22"/>
          <w:szCs w:val="22"/>
          <w:b w:val="1"/>
          <w:bCs w:val="1"/>
          <w:color w:val="auto"/>
        </w:rPr>
        <w:t>New ADS-to-Share Ratio:</w:t>
      </w:r>
      <w:r>
        <w:rPr>
          <w:sz w:val="20"/>
          <w:szCs w:val="20"/>
          <w:color w:val="auto"/>
        </w:rPr>
        <w:tab/>
      </w:r>
      <w:r>
        <w:rPr>
          <w:rFonts w:ascii="Times New Roman" w:cs="Times New Roman" w:eastAsia="Times New Roman" w:hAnsi="Times New Roman"/>
          <w:sz w:val="21"/>
          <w:szCs w:val="21"/>
          <w:b w:val="1"/>
          <w:bCs w:val="1"/>
          <w:color w:val="auto"/>
        </w:rPr>
        <w:t>One (1) ADS to five thousand (5,000) Shares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ADS Ratio Change will result in a one-for-two hundred reverse ADS split. On the Effective Date, each existing ADS holder will receive 0.005 of a new ADS.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ind w:left="760"/>
        <w:spacing w:after="0"/>
        <w:rPr>
          <w:sz w:val="20"/>
          <w:szCs w:val="20"/>
          <w:color w:val="auto"/>
        </w:rPr>
      </w:pPr>
      <w:r>
        <w:rPr>
          <w:rFonts w:ascii="Times New Roman" w:cs="Times New Roman" w:eastAsia="Times New Roman" w:hAnsi="Times New Roman"/>
          <w:sz w:val="22"/>
          <w:szCs w:val="22"/>
          <w:color w:val="auto"/>
        </w:rPr>
        <w:t>As a result of the ADS Ratio Change, the CUSIP number for the ADSs will change as follows:</w:t>
      </w:r>
    </w:p>
    <w:p>
      <w:pPr>
        <w:spacing w:after="0" w:line="202" w:lineRule="exact"/>
        <w:rPr>
          <w:sz w:val="20"/>
          <w:szCs w:val="20"/>
          <w:color w:val="auto"/>
        </w:rPr>
      </w:pPr>
    </w:p>
    <w:p>
      <w:pPr>
        <w:ind w:left="1500"/>
        <w:spacing w:after="0"/>
        <w:tabs>
          <w:tab w:leader="none" w:pos="3640" w:val="left"/>
        </w:tabs>
        <w:rPr>
          <w:sz w:val="20"/>
          <w:szCs w:val="20"/>
          <w:color w:val="auto"/>
        </w:rPr>
      </w:pPr>
      <w:r>
        <w:rPr>
          <w:rFonts w:ascii="Times New Roman" w:cs="Times New Roman" w:eastAsia="Times New Roman" w:hAnsi="Times New Roman"/>
          <w:sz w:val="22"/>
          <w:szCs w:val="22"/>
          <w:b w:val="1"/>
          <w:bCs w:val="1"/>
          <w:color w:val="auto"/>
        </w:rPr>
        <w:t>Existing CUSIP No.:</w:t>
      </w:r>
      <w:r>
        <w:rPr>
          <w:sz w:val="20"/>
          <w:szCs w:val="20"/>
          <w:color w:val="auto"/>
        </w:rPr>
        <w:tab/>
      </w:r>
      <w:r>
        <w:rPr>
          <w:rFonts w:ascii="Times New Roman" w:cs="Times New Roman" w:eastAsia="Times New Roman" w:hAnsi="Times New Roman"/>
          <w:sz w:val="21"/>
          <w:szCs w:val="21"/>
          <w:color w:val="auto"/>
        </w:rPr>
        <w:t>67022C205</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New CUSIP No.:  </w:t>
      </w:r>
      <w:r>
        <w:rPr>
          <w:rFonts w:ascii="Times New Roman" w:cs="Times New Roman" w:eastAsia="Times New Roman" w:hAnsi="Times New Roman"/>
          <w:sz w:val="22"/>
          <w:szCs w:val="22"/>
          <w:color w:val="auto"/>
        </w:rPr>
        <w:t>67022C304</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connection with the ADS Ratio Change, Holders of ADSs as of the Effective Date will be charged a Depositary fee of $0.005 per ADS cancelled.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ADSs held in The Depository Trust Company (“DTC”)</w:t>
      </w:r>
    </w:p>
    <w:p>
      <w:pPr>
        <w:spacing w:after="0" w:line="1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You do not need to take any action for existing ADSs held in DTC and by one of its participants (e.g., bank, broker, or other nominee). After the ADS Ratio Change, the new ADSs will be credited to DTC in exchange for existing ADSs for distribution to DTC participants and their client accounts. DTC participants and their clients are not required to take any affirmative actions to exchange existing ADSs for new ADSs.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ADSs held in uncertificated form (other than in DTC)</w:t>
      </w:r>
    </w:p>
    <w:p>
      <w:pPr>
        <w:spacing w:after="0" w:line="1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You do not need to take any action for existing ADSs held via the Direct Registration System. You will receive a statement from the Depositary specifying the applicable number of ADSs, after the ADS Ratio Change, that have been registered in your name.</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 fractional ADSs will be issued. Cash in lieu of fractional entitlements to ADSs will be distributed to registered holders of ADSs at a rate based upon the net proceeds received by the Depositary for the sale of the aggregate of the fractional ADS entitlements.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Depositary has filed (x) a form of Amendment No. 1 to the Amended and Restated Deposit Agreement, and (y) a form of ADR that reflects the new ADS-to-Share ratio with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cover of Post-Effective Amendment No. 1 to Registration Statement on Form F-6. A copy of the filing is available from the SEC’s website at www.sec.gov under Registration Number 333-286737.</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you have any questions about the above amendment and exchange, please call Citibank ADR Shareholder Services at 1-877-248-4237. Copies of the Amended and Restated Deposit Agreement and of Amendment No. 1 to the Amended and Restated Deposit Agreement are available at the principal offices of the Depositary at 388 Greenwich Street, New York, NY 10013 and can also be retrieved from the SEC’s website at www.sec.gov under Registration Number 333-286737.</w:t>
      </w:r>
    </w:p>
    <w:p>
      <w:pPr>
        <w:spacing w:after="0" w:line="1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Citibank, N.A., as Depositary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 2025</w:t>
      </w:r>
    </w:p>
    <w:p>
      <w:pPr>
        <w:ind w:left="60"/>
        <w:spacing w:after="0"/>
        <w:rPr>
          <w:sz w:val="20"/>
          <w:szCs w:val="20"/>
          <w:color w:val="auto"/>
        </w:rPr>
      </w:pPr>
      <w:r>
        <w:rPr>
          <w:rFonts w:ascii="Times New Roman" w:cs="Times New Roman" w:eastAsia="Times New Roman" w:hAnsi="Times New Roman"/>
          <w:sz w:val="22"/>
          <w:szCs w:val="22"/>
          <w:color w:val="auto"/>
        </w:rPr>
        <w:t xml:space="preserve">DOCPROPERTY DOCXDOCID DMS=IManage Format=&lt;&lt;NUM&gt;&gt;v.&lt;&lt;VER&gt;&gt; </w:t>
      </w:r>
      <w:r>
        <w:rPr>
          <w:rFonts w:ascii="Times New Roman" w:cs="Times New Roman" w:eastAsia="Times New Roman" w:hAnsi="Times New Roman"/>
          <w:sz w:val="16"/>
          <w:szCs w:val="16"/>
          <w:color w:val="auto"/>
        </w:rPr>
        <w:t>603463730v.1</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15815758v.2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0" w:name="page241"/>
    <w:bookmarkEnd w:id="240"/>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1576705</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60"/>
        <w:spacing w:after="0"/>
        <w:rPr>
          <w:sz w:val="20"/>
          <w:szCs w:val="20"/>
          <w:color w:val="auto"/>
        </w:rPr>
      </w:pPr>
      <w:r>
        <w:rPr>
          <w:rFonts w:ascii="Trebuchet MS" w:cs="Trebuchet MS" w:eastAsia="Trebuchet MS" w:hAnsi="Trebuchet MS"/>
          <w:sz w:val="25"/>
          <w:szCs w:val="25"/>
          <w:b w:val="1"/>
          <w:bCs w:val="1"/>
          <w:color w:val="auto"/>
        </w:rPr>
        <w:t>RULES OF THE</w:t>
      </w:r>
    </w:p>
    <w:p>
      <w:pPr>
        <w:spacing w:after="0" w:line="223" w:lineRule="exact"/>
        <w:rPr>
          <w:sz w:val="20"/>
          <w:szCs w:val="20"/>
          <w:color w:val="auto"/>
        </w:rPr>
      </w:pPr>
    </w:p>
    <w:p>
      <w:pPr>
        <w:ind w:left="4160"/>
        <w:spacing w:after="0"/>
        <w:rPr>
          <w:sz w:val="20"/>
          <w:szCs w:val="20"/>
          <w:color w:val="auto"/>
        </w:rPr>
      </w:pPr>
      <w:r>
        <w:rPr>
          <w:rFonts w:ascii="Trebuchet MS" w:cs="Trebuchet MS" w:eastAsia="Trebuchet MS" w:hAnsi="Trebuchet MS"/>
          <w:sz w:val="25"/>
          <w:szCs w:val="25"/>
          <w:b w:val="1"/>
          <w:bCs w:val="1"/>
          <w:color w:val="auto"/>
        </w:rPr>
        <w:t>NuCana BioMed Limited</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25"/>
          <w:szCs w:val="25"/>
          <w:b w:val="1"/>
          <w:bCs w:val="1"/>
          <w:color w:val="auto"/>
        </w:rPr>
        <w:t>2016 SHARE OPTION SCHEME (INCLUDING ENTERPRISE MANAGEMENT INCENTIVES &amp; INCENTIVE</w:t>
      </w:r>
    </w:p>
    <w:p>
      <w:pPr>
        <w:spacing w:after="0" w:line="17" w:lineRule="exact"/>
        <w:rPr>
          <w:sz w:val="20"/>
          <w:szCs w:val="20"/>
          <w:color w:val="auto"/>
        </w:rPr>
      </w:pPr>
    </w:p>
    <w:p>
      <w:pPr>
        <w:jc w:val="center"/>
        <w:ind w:right="60"/>
        <w:spacing w:after="0"/>
        <w:rPr>
          <w:sz w:val="20"/>
          <w:szCs w:val="20"/>
          <w:color w:val="auto"/>
        </w:rPr>
      </w:pPr>
      <w:r>
        <w:rPr>
          <w:rFonts w:ascii="Trebuchet MS" w:cs="Trebuchet MS" w:eastAsia="Trebuchet MS" w:hAnsi="Trebuchet MS"/>
          <w:sz w:val="25"/>
          <w:szCs w:val="25"/>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325755</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0"/>
        <w:spacing w:after="0" w:line="433" w:lineRule="auto"/>
        <w:rPr>
          <w:sz w:val="20"/>
          <w:szCs w:val="20"/>
          <w:color w:val="auto"/>
        </w:rPr>
      </w:pPr>
      <w:r>
        <w:rPr>
          <w:rFonts w:ascii="Trebuchet MS" w:cs="Trebuchet MS" w:eastAsia="Trebuchet MS" w:hAnsi="Trebuchet MS"/>
          <w:sz w:val="25"/>
          <w:szCs w:val="25"/>
          <w:b w:val="1"/>
          <w:bCs w:val="1"/>
          <w:color w:val="auto"/>
        </w:rPr>
        <w:t>Approved and Adopted by the Board of NuCana BioMed Ltd on 14 January 2016, as amended on 14 September 2017 and on 2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1683385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241" w:name="page242"/>
    <w:bookmarkEnd w:id="241"/>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0" w:type="dxa"/>
            <w:vAlign w:val="bottom"/>
          </w:tcPr>
          <w:p>
            <w:pPr>
              <w:spacing w:after="0"/>
              <w:rPr>
                <w:sz w:val="21"/>
                <w:szCs w:val="21"/>
                <w:color w:val="auto"/>
              </w:rPr>
            </w:pPr>
          </w:p>
        </w:tc>
        <w:tc>
          <w:tcPr>
            <w:tcW w:w="8080" w:type="dxa"/>
            <w:vAlign w:val="bottom"/>
          </w:tcPr>
          <w:p>
            <w:pPr>
              <w:ind w:left="4660"/>
              <w:spacing w:after="0"/>
              <w:rPr>
                <w:sz w:val="20"/>
                <w:szCs w:val="20"/>
                <w:color w:val="auto"/>
              </w:rPr>
            </w:pPr>
            <w:r>
              <w:rPr>
                <w:rFonts w:ascii="Trebuchet MS" w:cs="Trebuchet MS" w:eastAsia="Trebuchet MS" w:hAnsi="Trebuchet MS"/>
                <w:sz w:val="20"/>
                <w:szCs w:val="20"/>
                <w:b w:val="1"/>
                <w:bCs w:val="1"/>
                <w:color w:val="auto"/>
              </w:rPr>
              <w:t>CONTENTS</w:t>
            </w:r>
          </w:p>
        </w:tc>
        <w:tc>
          <w:tcPr>
            <w:tcW w:w="2680" w:type="dxa"/>
            <w:vAlign w:val="bottom"/>
          </w:tcPr>
          <w:p>
            <w:pPr>
              <w:spacing w:after="0"/>
              <w:rPr>
                <w:sz w:val="21"/>
                <w:szCs w:val="21"/>
                <w:color w:val="auto"/>
              </w:rPr>
            </w:pPr>
          </w:p>
        </w:tc>
      </w:tr>
      <w:tr>
        <w:trPr>
          <w:trHeight w:val="487"/>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1.</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INTERPRETATION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2.</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PROVISIONS RELATING TO THE GRANT OF OPTIONS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3.</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LIMITS AND OTHER RESTRICTIONS OF THE SCHEME RULES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5"/>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4.</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NON-ASSIGNABILITY OF OPTIONS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5.</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EXERCISE CONDITIONS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6.</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EXERCISE OF OPTION</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5"/>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7.</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CESSATION OF EMPLOYMENT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8.</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CHANGE OF CONTROL, AND SALE OF THE COMPANY</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5"/>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9.</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WINDING-UP OF THE COMPANY</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10.</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VARIATION OF CAPITAL</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11.</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ALTERATIONS TO THE RULES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65"/>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12.</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MISCELLANEOUS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64"/>
        </w:trPr>
        <w:tc>
          <w:tcPr>
            <w:tcW w:w="480" w:type="dxa"/>
            <w:vAlign w:val="bottom"/>
          </w:tcPr>
          <w:p>
            <w:pPr>
              <w:spacing w:after="0"/>
              <w:rPr>
                <w:sz w:val="20"/>
                <w:szCs w:val="20"/>
                <w:color w:val="auto"/>
              </w:rPr>
            </w:pPr>
            <w:r>
              <w:rPr>
                <w:rFonts w:ascii="Trebuchet MS" w:cs="Trebuchet MS" w:eastAsia="Trebuchet MS" w:hAnsi="Trebuchet MS"/>
                <w:sz w:val="22"/>
                <w:szCs w:val="22"/>
                <w:color w:val="0000FF"/>
              </w:rPr>
              <w:t>13.</w:t>
            </w:r>
          </w:p>
        </w:tc>
        <w:tc>
          <w:tcPr>
            <w:tcW w:w="8080" w:type="dxa"/>
            <w:vAlign w:val="bottom"/>
          </w:tcPr>
          <w:p>
            <w:pPr>
              <w:ind w:left="140"/>
              <w:spacing w:after="0"/>
              <w:rPr>
                <w:sz w:val="20"/>
                <w:szCs w:val="20"/>
                <w:color w:val="auto"/>
              </w:rPr>
            </w:pPr>
            <w:r>
              <w:rPr>
                <w:rFonts w:ascii="Trebuchet MS" w:cs="Trebuchet MS" w:eastAsia="Trebuchet MS" w:hAnsi="Trebuchet MS"/>
                <w:sz w:val="22"/>
                <w:szCs w:val="22"/>
                <w:color w:val="0000FF"/>
              </w:rPr>
              <w:t>GOVERNING LAW</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pacing w:after="0" w:line="200" w:lineRule="exact"/>
        <w:rPr>
          <w:sz w:val="20"/>
          <w:szCs w:val="20"/>
          <w:color w:val="auto"/>
        </w:rPr>
      </w:pPr>
    </w:p>
    <w:p>
      <w:pPr>
        <w:spacing w:after="0" w:line="247" w:lineRule="exact"/>
        <w:rPr>
          <w:sz w:val="20"/>
          <w:szCs w:val="20"/>
          <w:color w:val="auto"/>
        </w:rPr>
      </w:pPr>
    </w:p>
    <w:p>
      <w:pPr>
        <w:spacing w:after="0"/>
        <w:tabs>
          <w:tab w:leader="none" w:pos="1540" w:val="left"/>
        </w:tabs>
        <w:rPr>
          <w:sz w:val="20"/>
          <w:szCs w:val="20"/>
          <w:color w:val="auto"/>
        </w:rPr>
      </w:pPr>
      <w:r>
        <w:rPr>
          <w:rFonts w:ascii="Trebuchet MS" w:cs="Trebuchet MS" w:eastAsia="Trebuchet MS" w:hAnsi="Trebuchet MS"/>
          <w:sz w:val="22"/>
          <w:szCs w:val="22"/>
          <w:color w:val="auto"/>
        </w:rPr>
        <w:t>SCHEDULE 1</w:t>
      </w:r>
      <w:r>
        <w:rPr>
          <w:sz w:val="20"/>
          <w:szCs w:val="20"/>
          <w:color w:val="auto"/>
        </w:rPr>
        <w:tab/>
      </w:r>
      <w:r>
        <w:rPr>
          <w:rFonts w:ascii="Trebuchet MS" w:cs="Trebuchet MS" w:eastAsia="Trebuchet MS" w:hAnsi="Trebuchet MS"/>
          <w:sz w:val="21"/>
          <w:szCs w:val="21"/>
          <w:color w:val="auto"/>
        </w:rPr>
        <w:t>LETTER OF INVITATION</w:t>
      </w:r>
    </w:p>
    <w:p>
      <w:pPr>
        <w:spacing w:after="0" w:line="217" w:lineRule="exact"/>
        <w:rPr>
          <w:sz w:val="20"/>
          <w:szCs w:val="20"/>
          <w:color w:val="auto"/>
        </w:rPr>
      </w:pPr>
    </w:p>
    <w:p>
      <w:pPr>
        <w:spacing w:after="0"/>
        <w:tabs>
          <w:tab w:leader="none" w:pos="1540" w:val="left"/>
        </w:tabs>
        <w:rPr>
          <w:sz w:val="20"/>
          <w:szCs w:val="20"/>
          <w:color w:val="auto"/>
        </w:rPr>
      </w:pPr>
      <w:r>
        <w:rPr>
          <w:rFonts w:ascii="Trebuchet MS" w:cs="Trebuchet MS" w:eastAsia="Trebuchet MS" w:hAnsi="Trebuchet MS"/>
          <w:sz w:val="22"/>
          <w:szCs w:val="22"/>
          <w:color w:val="auto"/>
        </w:rPr>
        <w:t>SCHEDULE 2</w:t>
      </w:r>
      <w:r>
        <w:rPr>
          <w:sz w:val="20"/>
          <w:szCs w:val="20"/>
          <w:color w:val="auto"/>
        </w:rPr>
        <w:tab/>
      </w:r>
      <w:r>
        <w:rPr>
          <w:rFonts w:ascii="Trebuchet MS" w:cs="Trebuchet MS" w:eastAsia="Trebuchet MS" w:hAnsi="Trebuchet MS"/>
          <w:sz w:val="21"/>
          <w:szCs w:val="21"/>
          <w:color w:val="auto"/>
        </w:rPr>
        <w:t>OPTION AGREEMENT</w:t>
      </w:r>
    </w:p>
    <w:p>
      <w:pPr>
        <w:spacing w:after="0" w:line="217" w:lineRule="exact"/>
        <w:rPr>
          <w:sz w:val="20"/>
          <w:szCs w:val="20"/>
          <w:color w:val="auto"/>
        </w:rPr>
      </w:pPr>
    </w:p>
    <w:p>
      <w:pPr>
        <w:spacing w:after="0"/>
        <w:tabs>
          <w:tab w:leader="none" w:pos="1540" w:val="left"/>
        </w:tabs>
        <w:rPr>
          <w:sz w:val="20"/>
          <w:szCs w:val="20"/>
          <w:color w:val="auto"/>
        </w:rPr>
      </w:pPr>
      <w:r>
        <w:rPr>
          <w:rFonts w:ascii="Trebuchet MS" w:cs="Trebuchet MS" w:eastAsia="Trebuchet MS" w:hAnsi="Trebuchet MS"/>
          <w:sz w:val="22"/>
          <w:szCs w:val="22"/>
          <w:color w:val="auto"/>
        </w:rPr>
        <w:t>SCHEDULE 3</w:t>
      </w:r>
      <w:r>
        <w:rPr>
          <w:sz w:val="20"/>
          <w:szCs w:val="20"/>
          <w:color w:val="auto"/>
        </w:rPr>
        <w:tab/>
      </w:r>
      <w:r>
        <w:rPr>
          <w:rFonts w:ascii="Trebuchet MS" w:cs="Trebuchet MS" w:eastAsia="Trebuchet MS" w:hAnsi="Trebuchet MS"/>
          <w:sz w:val="21"/>
          <w:szCs w:val="21"/>
          <w:color w:val="auto"/>
        </w:rPr>
        <w:t>INCENTIVE STOCK OPTIONS: US SUB-PLAN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jc w:val="center"/>
        <w:spacing w:after="0"/>
        <w:rPr>
          <w:sz w:val="20"/>
          <w:szCs w:val="20"/>
          <w:color w:val="auto"/>
        </w:rPr>
      </w:pPr>
      <w:r>
        <w:rPr>
          <w:rFonts w:ascii="Trebuchet MS" w:cs="Trebuchet MS" w:eastAsia="Trebuchet MS" w:hAnsi="Trebuchet MS"/>
          <w:sz w:val="20"/>
          <w:szCs w:val="20"/>
          <w:b w:val="1"/>
          <w:bCs w:val="1"/>
          <w:color w:val="auto"/>
        </w:rPr>
        <w:t>NuCana Biomed Limited</w:t>
      </w: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b w:val="1"/>
          <w:bCs w:val="1"/>
          <w:color w:val="auto"/>
        </w:rPr>
        <w:t>2016 SHARE OPTION SCHEME</w:t>
      </w: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b w:val="1"/>
          <w:bCs w:val="1"/>
          <w:color w:val="auto"/>
        </w:rPr>
        <w:t>RULES</w:t>
      </w:r>
    </w:p>
    <w:p>
      <w:pPr>
        <w:spacing w:after="0" w:line="213" w:lineRule="exact"/>
        <w:rPr>
          <w:sz w:val="20"/>
          <w:szCs w:val="20"/>
          <w:color w:val="auto"/>
        </w:rPr>
      </w:pPr>
    </w:p>
    <w:p>
      <w:pPr>
        <w:jc w:val="center"/>
        <w:ind w:right="-19"/>
        <w:spacing w:after="0"/>
        <w:tabs>
          <w:tab w:leader="none" w:pos="200" w:val="left"/>
        </w:tabs>
        <w:rPr>
          <w:sz w:val="20"/>
          <w:szCs w:val="20"/>
          <w:color w:val="auto"/>
        </w:rPr>
      </w:pPr>
      <w:r>
        <w:rPr>
          <w:rFonts w:ascii="Trebuchet MS" w:cs="Trebuchet MS" w:eastAsia="Trebuchet MS" w:hAnsi="Trebuchet MS"/>
          <w:sz w:val="20"/>
          <w:szCs w:val="20"/>
          <w:b w:val="1"/>
          <w:bCs w:val="1"/>
          <w:color w:val="auto"/>
        </w:rPr>
        <w:t>(INCLUDING ENTERPRISE MANAGEMENT</w:t>
      </w:r>
      <w:r>
        <w:rPr>
          <w:sz w:val="20"/>
          <w:szCs w:val="20"/>
          <w:color w:val="auto"/>
        </w:rPr>
        <w:tab/>
      </w:r>
      <w:r>
        <w:rPr>
          <w:rFonts w:ascii="Trebuchet MS" w:cs="Trebuchet MS" w:eastAsia="Trebuchet MS" w:hAnsi="Trebuchet MS"/>
          <w:sz w:val="19"/>
          <w:szCs w:val="19"/>
          <w:b w:val="1"/>
          <w:bCs w:val="1"/>
          <w:color w:val="auto"/>
        </w:rPr>
        <w:t>INCENTIVES &amp; INCENTIVE STOCK OPTIONS)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hanging="472"/>
        <w:spacing w:after="0"/>
        <w:tabs>
          <w:tab w:leader="none" w:pos="480" w:val="left"/>
        </w:tabs>
        <w:numPr>
          <w:ilvl w:val="0"/>
          <w:numId w:val="179"/>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INTERPRETATION</w:t>
      </w:r>
    </w:p>
    <w:p>
      <w:pPr>
        <w:spacing w:after="0" w:line="221" w:lineRule="exact"/>
        <w:rPr>
          <w:sz w:val="20"/>
          <w:szCs w:val="20"/>
          <w:color w:val="auto"/>
        </w:rPr>
      </w:pPr>
    </w:p>
    <w:p>
      <w:pPr>
        <w:ind w:left="480" w:right="40" w:hanging="736"/>
        <w:spacing w:after="0"/>
        <w:tabs>
          <w:tab w:leader="none" w:pos="460" w:val="left"/>
        </w:tabs>
        <w:rPr>
          <w:sz w:val="20"/>
          <w:szCs w:val="20"/>
          <w:color w:val="auto"/>
        </w:rPr>
      </w:pPr>
      <w:r>
        <w:rPr>
          <w:rFonts w:ascii="Trebuchet MS" w:cs="Trebuchet MS" w:eastAsia="Trebuchet MS" w:hAnsi="Trebuchet MS"/>
          <w:sz w:val="20"/>
          <w:szCs w:val="20"/>
          <w:color w:val="auto"/>
        </w:rPr>
        <w:t>1.1</w:t>
        <w:tab/>
        <w:t>In these Rules (unless the context otherwise requires) the following words and expressions shall have the following meanings: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“Admission”</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admission of part of or the entire issued share capital</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of the Company (or any holding company of the Company)</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to listing on the Official List of the UK Listing Authority</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and  to  trading  on  the  market  for  listed  securities  of</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London Stock Exchange plc, or to trading on AIM or to</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trading on any recognised investment exchange (as that</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term is defined in section 841 ICTA)</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“Adoption Date”</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date  on  which  the  Scheme  is  adopted  by  the</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Board/Company;</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“AIM”</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market of that name operated by the London Stock</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Exchange Plc;</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“Any Other EMI Scheme”</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any  scheme  (other  than  the  Scheme)  adopted  by  the</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Company or any  Group Member or by the Board which</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provides for the grant of options to acquire Shares which</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are Qualifying Options;</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color w:val="auto"/>
              </w:rPr>
              <w:t>“</w:t>
            </w:r>
            <w:r>
              <w:rPr>
                <w:rFonts w:ascii="Trebuchet MS" w:cs="Trebuchet MS" w:eastAsia="Trebuchet MS" w:hAnsi="Trebuchet MS"/>
                <w:sz w:val="20"/>
                <w:szCs w:val="20"/>
                <w:b w:val="1"/>
                <w:bCs w:val="1"/>
                <w:color w:val="auto"/>
              </w:rPr>
              <w:t>Any Other Scheme</w:t>
            </w:r>
            <w:r>
              <w:rPr>
                <w:rFonts w:ascii="Trebuchet MS" w:cs="Trebuchet MS" w:eastAsia="Trebuchet MS" w:hAnsi="Trebuchet MS"/>
                <w:sz w:val="20"/>
                <w:szCs w:val="20"/>
                <w:color w:val="auto"/>
              </w:rPr>
              <w:t>”</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any scheme (other than the Scheme) approved by the</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Company in general meeting or adopted by the Board</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which  provides  for  the  acquisition  of  Shares  by  or  on</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behalf of employees or directors of the Group;</w:t>
            </w:r>
          </w:p>
        </w:tc>
      </w:tr>
      <w:tr>
        <w:trPr>
          <w:trHeight w:val="448"/>
        </w:trPr>
        <w:tc>
          <w:tcPr>
            <w:tcW w:w="3700" w:type="dxa"/>
            <w:vAlign w:val="bottom"/>
          </w:tcPr>
          <w:p>
            <w:pPr>
              <w:ind w:left="960"/>
              <w:spacing w:after="0"/>
              <w:rPr>
                <w:sz w:val="20"/>
                <w:szCs w:val="20"/>
                <w:color w:val="auto"/>
              </w:rPr>
            </w:pPr>
            <w:r>
              <w:rPr>
                <w:rFonts w:ascii="Trebuchet MS" w:cs="Trebuchet MS" w:eastAsia="Trebuchet MS" w:hAnsi="Trebuchet MS"/>
                <w:sz w:val="20"/>
                <w:szCs w:val="20"/>
                <w:color w:val="auto"/>
              </w:rPr>
              <w:t>“</w:t>
            </w:r>
            <w:r>
              <w:rPr>
                <w:rFonts w:ascii="Trebuchet MS" w:cs="Trebuchet MS" w:eastAsia="Trebuchet MS" w:hAnsi="Trebuchet MS"/>
                <w:sz w:val="20"/>
                <w:szCs w:val="20"/>
                <w:b w:val="1"/>
                <w:bCs w:val="1"/>
                <w:color w:val="auto"/>
              </w:rPr>
              <w:t>Appropriate Period</w:t>
            </w:r>
            <w:r>
              <w:rPr>
                <w:rFonts w:ascii="Trebuchet MS" w:cs="Trebuchet MS" w:eastAsia="Trebuchet MS" w:hAnsi="Trebuchet MS"/>
                <w:sz w:val="20"/>
                <w:szCs w:val="20"/>
                <w:color w:val="auto"/>
              </w:rPr>
              <w:t>”</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as defined in Rule 8.3;</w:t>
            </w:r>
          </w:p>
        </w:tc>
      </w:tr>
      <w:tr>
        <w:trPr>
          <w:trHeight w:val="443"/>
        </w:trPr>
        <w:tc>
          <w:tcPr>
            <w:tcW w:w="3700" w:type="dxa"/>
            <w:vAlign w:val="bottom"/>
          </w:tcPr>
          <w:p>
            <w:pPr>
              <w:spacing w:after="0"/>
              <w:rPr>
                <w:sz w:val="24"/>
                <w:szCs w:val="24"/>
                <w:color w:val="auto"/>
              </w:rPr>
            </w:pPr>
          </w:p>
        </w:tc>
        <w:tc>
          <w:tcPr>
            <w:tcW w:w="7540" w:type="dxa"/>
            <w:vAlign w:val="bottom"/>
          </w:tcPr>
          <w:p>
            <w:pPr>
              <w:ind w:left="1880"/>
              <w:spacing w:after="0"/>
              <w:rPr>
                <w:sz w:val="20"/>
                <w:szCs w:val="20"/>
                <w:color w:val="auto"/>
              </w:rPr>
            </w:pPr>
            <w:r>
              <w:rPr>
                <w:rFonts w:ascii="Trebuchet MS" w:cs="Trebuchet MS" w:eastAsia="Trebuchet MS" w:hAnsi="Trebuchet MS"/>
                <w:sz w:val="20"/>
                <w:szCs w:val="20"/>
                <w:color w:val="auto"/>
              </w:rPr>
              <w:t>1</w:t>
            </w:r>
          </w:p>
        </w:tc>
      </w:tr>
      <w:tr>
        <w:trPr>
          <w:trHeight w:val="794"/>
        </w:trPr>
        <w:tc>
          <w:tcPr>
            <w:tcW w:w="3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8"/>
        </w:trPr>
        <w:tc>
          <w:tcPr>
            <w:tcW w:w="3600" w:type="dxa"/>
            <w:vAlign w:val="bottom"/>
          </w:tcPr>
          <w:p>
            <w:pPr>
              <w:ind w:left="960"/>
              <w:spacing w:after="0"/>
              <w:rPr>
                <w:sz w:val="20"/>
                <w:szCs w:val="20"/>
                <w:color w:val="auto"/>
              </w:rPr>
            </w:pPr>
            <w:r>
              <w:rPr>
                <w:rFonts w:ascii="Trebuchet MS" w:cs="Trebuchet MS" w:eastAsia="Trebuchet MS" w:hAnsi="Trebuchet MS"/>
                <w:sz w:val="20"/>
                <w:szCs w:val="20"/>
                <w:color w:val="auto"/>
              </w:rPr>
              <w:t>“</w:t>
            </w:r>
            <w:r>
              <w:rPr>
                <w:rFonts w:ascii="Trebuchet MS" w:cs="Trebuchet MS" w:eastAsia="Trebuchet MS" w:hAnsi="Trebuchet MS"/>
                <w:sz w:val="20"/>
                <w:szCs w:val="20"/>
                <w:b w:val="1"/>
                <w:bCs w:val="1"/>
                <w:color w:val="auto"/>
              </w:rPr>
              <w:t>Associated Company</w:t>
            </w:r>
            <w:r>
              <w:rPr>
                <w:rFonts w:ascii="Trebuchet MS" w:cs="Trebuchet MS" w:eastAsia="Trebuchet MS" w:hAnsi="Trebuchet MS"/>
                <w:sz w:val="20"/>
                <w:szCs w:val="20"/>
                <w:color w:val="auto"/>
              </w:rPr>
              <w:t>”</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has the meaning given to that expression by section 416</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ICTA;</w:t>
            </w:r>
          </w:p>
        </w:tc>
      </w:tr>
      <w:tr>
        <w:trPr>
          <w:trHeight w:val="439"/>
        </w:trPr>
        <w:tc>
          <w:tcPr>
            <w:tcW w:w="3600" w:type="dxa"/>
            <w:vAlign w:val="bottom"/>
          </w:tcPr>
          <w:p>
            <w:pPr>
              <w:ind w:left="960"/>
              <w:spacing w:after="0"/>
              <w:rPr>
                <w:sz w:val="20"/>
                <w:szCs w:val="20"/>
                <w:color w:val="auto"/>
              </w:rPr>
            </w:pPr>
            <w:r>
              <w:rPr>
                <w:rFonts w:ascii="Trebuchet MS" w:cs="Trebuchet MS" w:eastAsia="Trebuchet MS" w:hAnsi="Trebuchet MS"/>
                <w:sz w:val="20"/>
                <w:szCs w:val="20"/>
                <w:color w:val="auto"/>
              </w:rPr>
              <w:t>“</w:t>
            </w:r>
            <w:r>
              <w:rPr>
                <w:rFonts w:ascii="Trebuchet MS" w:cs="Trebuchet MS" w:eastAsia="Trebuchet MS" w:hAnsi="Trebuchet MS"/>
                <w:sz w:val="20"/>
                <w:szCs w:val="20"/>
                <w:b w:val="1"/>
                <w:bCs w:val="1"/>
                <w:color w:val="auto"/>
              </w:rPr>
              <w:t>Auditors</w:t>
            </w:r>
            <w:r>
              <w:rPr>
                <w:rFonts w:ascii="Trebuchet MS" w:cs="Trebuchet MS" w:eastAsia="Trebuchet MS" w:hAnsi="Trebuchet MS"/>
                <w:sz w:val="20"/>
                <w:szCs w:val="20"/>
                <w:color w:val="auto"/>
              </w:rPr>
              <w:t>”</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the auditors for the time being of the Company (acting as</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experts and not as arbitrators);</w:t>
            </w:r>
          </w:p>
        </w:tc>
      </w:tr>
      <w:tr>
        <w:trPr>
          <w:trHeight w:val="439"/>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“Board”</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the board of directors for the time being of the Company</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or a committee thereof duly authorised for the purposes of</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the Scheme;</w:t>
            </w:r>
          </w:p>
        </w:tc>
      </w:tr>
      <w:tr>
        <w:trPr>
          <w:trHeight w:val="439"/>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“Capital”</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issued equity share capital of the Company as that term is</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defined in section 548 of the Companies Act 2006;</w:t>
            </w:r>
          </w:p>
        </w:tc>
      </w:tr>
      <w:tr>
        <w:trPr>
          <w:trHeight w:val="447"/>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“Change of Control”</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means any of the events set out in Rule 8.1 (a) to (c);</w:t>
            </w:r>
          </w:p>
        </w:tc>
      </w:tr>
      <w:tr>
        <w:trPr>
          <w:trHeight w:val="437"/>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“Close Period”</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any period where there are restrictions on dealing in the</w:t>
            </w:r>
          </w:p>
        </w:tc>
      </w:tr>
      <w:tr>
        <w:trPr>
          <w:trHeight w:val="229"/>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shares as stipulated by a relevant authority including</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under the rules of AIM;</w:t>
            </w:r>
          </w:p>
        </w:tc>
      </w:tr>
      <w:tr>
        <w:trPr>
          <w:trHeight w:val="439"/>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“Company”</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NuCana  BioMed  Limited  registered  in  the  UK  with</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registration  number  03308778  and  whose  registered</w:t>
            </w:r>
          </w:p>
        </w:tc>
      </w:tr>
      <w:tr>
        <w:trPr>
          <w:trHeight w:val="229"/>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address is 77-78 Cannon Street, London, England, EC4N</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6AF;</w:t>
            </w:r>
          </w:p>
        </w:tc>
      </w:tr>
      <w:tr>
        <w:trPr>
          <w:trHeight w:val="431"/>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“Control”</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has  the  meaning  given  to  it  by  section  840  ICTA  and</w:t>
            </w:r>
          </w:p>
        </w:tc>
      </w:tr>
      <w:tr>
        <w:trPr>
          <w:trHeight w:val="246"/>
        </w:trPr>
        <w:tc>
          <w:tcPr>
            <w:tcW w:w="3600" w:type="dxa"/>
            <w:vAlign w:val="bottom"/>
          </w:tcPr>
          <w:p>
            <w:pPr>
              <w:spacing w:after="0"/>
              <w:rPr>
                <w:sz w:val="21"/>
                <w:szCs w:val="21"/>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b w:val="1"/>
                <w:bCs w:val="1"/>
                <w:color w:val="auto"/>
              </w:rPr>
              <w:t xml:space="preserve">“Controlled” </w:t>
            </w:r>
            <w:r>
              <w:rPr>
                <w:rFonts w:ascii="Trebuchet MS" w:cs="Trebuchet MS" w:eastAsia="Trebuchet MS" w:hAnsi="Trebuchet MS"/>
                <w:sz w:val="20"/>
                <w:szCs w:val="20"/>
                <w:color w:val="auto"/>
              </w:rPr>
              <w:t>shall have a similar meaning;</w:t>
            </w:r>
          </w:p>
        </w:tc>
      </w:tr>
      <w:tr>
        <w:trPr>
          <w:trHeight w:val="437"/>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“Date of Grant”</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the date on which an Option was or is to be granted under</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Rule 2;</w:t>
            </w:r>
          </w:p>
        </w:tc>
      </w:tr>
      <w:tr>
        <w:trPr>
          <w:trHeight w:val="439"/>
        </w:trPr>
        <w:tc>
          <w:tcPr>
            <w:tcW w:w="36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“Eligible Employee”</w:t>
            </w: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An employee or director of the Company or of a Qualifying</w:t>
            </w:r>
          </w:p>
        </w:tc>
      </w:tr>
      <w:tr>
        <w:trPr>
          <w:trHeight w:val="229"/>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Subsidiary and additionally, in the case of an Option which</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is to be granted as an EMI Option, a person who at the</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appropriate time (as defined in Schedule 5) also satisfies</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the requirements of paragraphs 25 and 26 of Schedule 5,</w:t>
            </w:r>
          </w:p>
        </w:tc>
      </w:tr>
      <w:tr>
        <w:trPr>
          <w:trHeight w:val="229"/>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and whose average amount per week of reckonable time in</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relevant employment (as defined in section 535(3) ITEPA</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and paragraph 26 Schedule 5) during a tax year is not less</w:t>
            </w:r>
          </w:p>
        </w:tc>
      </w:tr>
      <w:tr>
        <w:trPr>
          <w:trHeight w:val="230"/>
        </w:trPr>
        <w:tc>
          <w:tcPr>
            <w:tcW w:w="3600" w:type="dxa"/>
            <w:vAlign w:val="bottom"/>
          </w:tcPr>
          <w:p>
            <w:pPr>
              <w:spacing w:after="0"/>
              <w:rPr>
                <w:sz w:val="19"/>
                <w:szCs w:val="19"/>
                <w:color w:val="auto"/>
              </w:rPr>
            </w:pPr>
          </w:p>
        </w:tc>
        <w:tc>
          <w:tcPr>
            <w:tcW w:w="7640" w:type="dxa"/>
            <w:vAlign w:val="bottom"/>
          </w:tcPr>
          <w:p>
            <w:pPr>
              <w:ind w:left="520"/>
              <w:spacing w:after="0" w:line="230" w:lineRule="exact"/>
              <w:rPr>
                <w:sz w:val="20"/>
                <w:szCs w:val="20"/>
                <w:color w:val="auto"/>
              </w:rPr>
            </w:pPr>
            <w:r>
              <w:rPr>
                <w:rFonts w:ascii="Trebuchet MS" w:cs="Trebuchet MS" w:eastAsia="Trebuchet MS" w:hAnsi="Trebuchet MS"/>
                <w:sz w:val="20"/>
                <w:szCs w:val="20"/>
                <w:color w:val="auto"/>
              </w:rPr>
              <w:t>than 25 hours a week or such other relevant statutory</w:t>
            </w:r>
          </w:p>
        </w:tc>
      </w:tr>
      <w:tr>
        <w:trPr>
          <w:trHeight w:val="236"/>
        </w:trPr>
        <w:tc>
          <w:tcPr>
            <w:tcW w:w="360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Trebuchet MS" w:cs="Trebuchet MS" w:eastAsia="Trebuchet MS" w:hAnsi="Trebuchet MS"/>
                <w:sz w:val="20"/>
                <w:szCs w:val="20"/>
                <w:color w:val="auto"/>
              </w:rPr>
              <w:t>threshold at the appropriate time;</w:t>
            </w:r>
          </w:p>
        </w:tc>
      </w:tr>
      <w:tr>
        <w:trPr>
          <w:trHeight w:val="445"/>
        </w:trPr>
        <w:tc>
          <w:tcPr>
            <w:tcW w:w="3600" w:type="dxa"/>
            <w:vAlign w:val="bottom"/>
          </w:tcPr>
          <w:p>
            <w:pPr>
              <w:spacing w:after="0"/>
              <w:rPr>
                <w:sz w:val="24"/>
                <w:szCs w:val="24"/>
                <w:color w:val="auto"/>
              </w:rPr>
            </w:pPr>
          </w:p>
        </w:tc>
        <w:tc>
          <w:tcPr>
            <w:tcW w:w="7640" w:type="dxa"/>
            <w:vAlign w:val="bottom"/>
          </w:tcPr>
          <w:p>
            <w:pPr>
              <w:ind w:left="1980"/>
              <w:spacing w:after="0"/>
              <w:rPr>
                <w:sz w:val="20"/>
                <w:szCs w:val="20"/>
                <w:color w:val="auto"/>
              </w:rPr>
            </w:pPr>
            <w:r>
              <w:rPr>
                <w:rFonts w:ascii="Trebuchet MS" w:cs="Trebuchet MS" w:eastAsia="Trebuchet MS" w:hAnsi="Trebuchet MS"/>
                <w:sz w:val="20"/>
                <w:szCs w:val="20"/>
                <w:color w:val="auto"/>
              </w:rPr>
              <w:t>2</w:t>
            </w:r>
          </w:p>
        </w:tc>
      </w:tr>
      <w:tr>
        <w:trPr>
          <w:trHeight w:val="794"/>
        </w:trPr>
        <w:tc>
          <w:tcPr>
            <w:tcW w:w="360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38"/>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“EMI Code”</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provisions  set  out  in  sections  527  to  541  ITEPA</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(inclusive), Schedule 5 and Part 4 Schedule 7D TCGA;</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“EMI Option”</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a right (for the time being subsisting) to acquire Shares</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under the Scheme in accordance with these Rules and</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which is a Qualifying Option;</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“Exercise Conditions”</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conditions, if any, determined by the Board at the Date of</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Grant  and  as  set  out  in  the  Appendix  of  the  Option</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Agreement required to be satisfied before the Option can</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be  exercised,  such  conditions  being  subject  to  the</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provisions set out in Rule 5;</w:t>
            </w:r>
          </w:p>
        </w:tc>
      </w:tr>
      <w:tr>
        <w:trPr>
          <w:trHeight w:val="447"/>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“FSMA”</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Financial Services and Markets Act 2000;</w:t>
            </w:r>
          </w:p>
        </w:tc>
      </w:tr>
      <w:tr>
        <w:trPr>
          <w:trHeight w:val="437"/>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“Group”</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 xml:space="preserve">the Company and its Subsidiaries and </w:t>
            </w:r>
            <w:r>
              <w:rPr>
                <w:rFonts w:ascii="Trebuchet MS" w:cs="Trebuchet MS" w:eastAsia="Trebuchet MS" w:hAnsi="Trebuchet MS"/>
                <w:sz w:val="20"/>
                <w:szCs w:val="20"/>
                <w:b w:val="1"/>
                <w:bCs w:val="1"/>
                <w:color w:val="auto"/>
              </w:rPr>
              <w:t>“Group Member”</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shall be construed accordingly;</w:t>
            </w:r>
          </w:p>
        </w:tc>
      </w:tr>
      <w:tr>
        <w:trPr>
          <w:trHeight w:val="448"/>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“HMRC”</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HM Revenue and Customs;</w:t>
            </w:r>
          </w:p>
        </w:tc>
      </w:tr>
      <w:tr>
        <w:trPr>
          <w:trHeight w:val="437"/>
        </w:trPr>
        <w:tc>
          <w:tcPr>
            <w:tcW w:w="3700" w:type="dxa"/>
            <w:vAlign w:val="bottom"/>
          </w:tcPr>
          <w:p>
            <w:pPr>
              <w:ind w:left="960"/>
              <w:spacing w:after="0"/>
              <w:rPr>
                <w:sz w:val="20"/>
                <w:szCs w:val="20"/>
                <w:color w:val="auto"/>
              </w:rPr>
            </w:pPr>
            <w:r>
              <w:rPr>
                <w:rFonts w:ascii="Trebuchet MS" w:cs="Trebuchet MS" w:eastAsia="Trebuchet MS" w:hAnsi="Trebuchet MS"/>
                <w:sz w:val="20"/>
                <w:szCs w:val="20"/>
                <w:color w:val="auto"/>
              </w:rPr>
              <w:t>“</w:t>
            </w:r>
            <w:r>
              <w:rPr>
                <w:rFonts w:ascii="Trebuchet MS" w:cs="Trebuchet MS" w:eastAsia="Trebuchet MS" w:hAnsi="Trebuchet MS"/>
                <w:sz w:val="20"/>
                <w:szCs w:val="20"/>
                <w:b w:val="1"/>
                <w:bCs w:val="1"/>
                <w:color w:val="auto"/>
              </w:rPr>
              <w:t>Incentive Stock Option</w:t>
            </w:r>
            <w:r>
              <w:rPr>
                <w:rFonts w:ascii="Trebuchet MS" w:cs="Trebuchet MS" w:eastAsia="Trebuchet MS" w:hAnsi="Trebuchet MS"/>
                <w:sz w:val="20"/>
                <w:szCs w:val="20"/>
                <w:color w:val="auto"/>
              </w:rPr>
              <w:t>”</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means an option or portion thereof intended to meet the</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requirements of an incentive stock option as defined in US</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Code Section 422, subject to the provisions of Schedule 3</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to these Rules and designated as an Incentive Stock Option</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in the applicable Option Agreement, and if the Board does</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not designate an Option as an Incentive Stock Option in</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the Option Agreement, the terms of the Option Agreement</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for such Option hereby provide that the Option will not be</w:t>
            </w:r>
          </w:p>
        </w:tc>
      </w:tr>
      <w:tr>
        <w:trPr>
          <w:trHeight w:val="229"/>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treated  as  an  Incentive  Stock  Option  under  US  Code</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Section 422:</w:t>
            </w:r>
          </w:p>
        </w:tc>
      </w:tr>
      <w:tr>
        <w:trPr>
          <w:trHeight w:val="448"/>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“ICTA”</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Income and Corporation Taxes Act 1988;</w:t>
            </w:r>
          </w:p>
        </w:tc>
      </w:tr>
      <w:tr>
        <w:trPr>
          <w:trHeight w:val="445"/>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“ITEPA”</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the Income Tax (Earnings and Pensions) Act 2003;</w:t>
            </w:r>
          </w:p>
        </w:tc>
      </w:tr>
      <w:tr>
        <w:trPr>
          <w:trHeight w:val="437"/>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“Joint Election”</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means a joint election pursuant to sections 425, 430 or 431</w:t>
            </w:r>
          </w:p>
        </w:tc>
      </w:tr>
      <w:tr>
        <w:trPr>
          <w:trHeight w:val="236"/>
        </w:trPr>
        <w:tc>
          <w:tcPr>
            <w:tcW w:w="3700" w:type="dxa"/>
            <w:vAlign w:val="bottom"/>
          </w:tcPr>
          <w:p>
            <w:pPr>
              <w:spacing w:after="0"/>
              <w:rPr>
                <w:sz w:val="20"/>
                <w:szCs w:val="20"/>
                <w:color w:val="auto"/>
              </w:rPr>
            </w:pP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ITEPA;</w:t>
            </w:r>
          </w:p>
        </w:tc>
      </w:tr>
      <w:tr>
        <w:trPr>
          <w:trHeight w:val="439"/>
        </w:trPr>
        <w:tc>
          <w:tcPr>
            <w:tcW w:w="37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“Letter of Invitation”</w:t>
            </w:r>
          </w:p>
        </w:tc>
        <w:tc>
          <w:tcPr>
            <w:tcW w:w="7540" w:type="dxa"/>
            <w:vAlign w:val="bottom"/>
          </w:tcPr>
          <w:p>
            <w:pPr>
              <w:ind w:left="420"/>
              <w:spacing w:after="0"/>
              <w:rPr>
                <w:sz w:val="20"/>
                <w:szCs w:val="20"/>
                <w:color w:val="auto"/>
              </w:rPr>
            </w:pPr>
            <w:r>
              <w:rPr>
                <w:rFonts w:ascii="Trebuchet MS" w:cs="Trebuchet MS" w:eastAsia="Trebuchet MS" w:hAnsi="Trebuchet MS"/>
                <w:sz w:val="20"/>
                <w:szCs w:val="20"/>
                <w:color w:val="auto"/>
              </w:rPr>
              <w:t>a letter substantially in the form set out in Schedule 1 to</w:t>
            </w:r>
          </w:p>
        </w:tc>
      </w:tr>
      <w:tr>
        <w:trPr>
          <w:trHeight w:val="230"/>
        </w:trPr>
        <w:tc>
          <w:tcPr>
            <w:tcW w:w="3700" w:type="dxa"/>
            <w:vAlign w:val="bottom"/>
          </w:tcPr>
          <w:p>
            <w:pPr>
              <w:spacing w:after="0"/>
              <w:rPr>
                <w:sz w:val="19"/>
                <w:szCs w:val="19"/>
                <w:color w:val="auto"/>
              </w:rPr>
            </w:pPr>
          </w:p>
        </w:tc>
        <w:tc>
          <w:tcPr>
            <w:tcW w:w="7540" w:type="dxa"/>
            <w:vAlign w:val="bottom"/>
          </w:tcPr>
          <w:p>
            <w:pPr>
              <w:ind w:left="420"/>
              <w:spacing w:after="0" w:line="230" w:lineRule="exact"/>
              <w:rPr>
                <w:sz w:val="20"/>
                <w:szCs w:val="20"/>
                <w:color w:val="auto"/>
              </w:rPr>
            </w:pPr>
            <w:r>
              <w:rPr>
                <w:rFonts w:ascii="Trebuchet MS" w:cs="Trebuchet MS" w:eastAsia="Trebuchet MS" w:hAnsi="Trebuchet MS"/>
                <w:sz w:val="20"/>
                <w:szCs w:val="20"/>
                <w:color w:val="auto"/>
              </w:rPr>
              <w:t>these Rules provided by the</w:t>
            </w:r>
          </w:p>
        </w:tc>
      </w:tr>
      <w:tr>
        <w:trPr>
          <w:trHeight w:val="236"/>
        </w:trPr>
        <w:tc>
          <w:tcPr>
            <w:tcW w:w="3700" w:type="dxa"/>
            <w:vAlign w:val="bottom"/>
          </w:tcPr>
          <w:p>
            <w:pPr>
              <w:spacing w:after="0"/>
              <w:rPr>
                <w:sz w:val="20"/>
                <w:szCs w:val="20"/>
                <w:color w:val="auto"/>
              </w:rPr>
            </w:pPr>
          </w:p>
        </w:tc>
        <w:tc>
          <w:tcPr>
            <w:tcW w:w="7540" w:type="dxa"/>
            <w:vAlign w:val="bottom"/>
          </w:tcPr>
          <w:p>
            <w:pPr>
              <w:ind w:left="1880"/>
              <w:spacing w:after="0"/>
              <w:rPr>
                <w:sz w:val="20"/>
                <w:szCs w:val="20"/>
                <w:color w:val="auto"/>
              </w:rPr>
            </w:pPr>
            <w:r>
              <w:rPr>
                <w:rFonts w:ascii="Trebuchet MS" w:cs="Trebuchet MS" w:eastAsia="Trebuchet MS" w:hAnsi="Trebuchet MS"/>
                <w:sz w:val="20"/>
                <w:szCs w:val="20"/>
                <w:color w:val="auto"/>
              </w:rPr>
              <w:t>3</w:t>
            </w:r>
          </w:p>
        </w:tc>
      </w:tr>
      <w:tr>
        <w:trPr>
          <w:trHeight w:val="794"/>
        </w:trPr>
        <w:tc>
          <w:tcPr>
            <w:tcW w:w="3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32"/>
        </w:trPr>
        <w:tc>
          <w:tcPr>
            <w:tcW w:w="3500" w:type="dxa"/>
            <w:vAlign w:val="bottom"/>
          </w:tcPr>
          <w:p>
            <w:pPr>
              <w:spacing w:after="0"/>
              <w:rPr>
                <w:sz w:val="20"/>
                <w:szCs w:val="20"/>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Company to an employee or director inviting him to accept</w:t>
            </w:r>
          </w:p>
        </w:tc>
      </w:tr>
      <w:tr>
        <w:trPr>
          <w:trHeight w:val="236"/>
        </w:trPr>
        <w:tc>
          <w:tcPr>
            <w:tcW w:w="3500" w:type="dxa"/>
            <w:vAlign w:val="bottom"/>
          </w:tcPr>
          <w:p>
            <w:pPr>
              <w:spacing w:after="0"/>
              <w:rPr>
                <w:sz w:val="20"/>
                <w:szCs w:val="20"/>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the grant of an Option;</w:t>
            </w:r>
          </w:p>
        </w:tc>
      </w:tr>
      <w:tr>
        <w:trPr>
          <w:trHeight w:val="439"/>
        </w:trPr>
        <w:tc>
          <w:tcPr>
            <w:tcW w:w="35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“Market Value”</w:t>
            </w: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has the same meaning as it has for the purposes of Part VIII</w:t>
            </w:r>
          </w:p>
        </w:tc>
      </w:tr>
      <w:tr>
        <w:trPr>
          <w:trHeight w:val="236"/>
        </w:trPr>
        <w:tc>
          <w:tcPr>
            <w:tcW w:w="3500" w:type="dxa"/>
            <w:vAlign w:val="bottom"/>
          </w:tcPr>
          <w:p>
            <w:pPr>
              <w:spacing w:after="0"/>
              <w:rPr>
                <w:sz w:val="20"/>
                <w:szCs w:val="20"/>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TCGA and which shall be deemed to be:</w:t>
            </w:r>
          </w:p>
        </w:tc>
      </w:tr>
      <w:tr>
        <w:trPr>
          <w:trHeight w:val="439"/>
        </w:trPr>
        <w:tc>
          <w:tcPr>
            <w:tcW w:w="3500" w:type="dxa"/>
            <w:vAlign w:val="bottom"/>
          </w:tcPr>
          <w:p>
            <w:pPr>
              <w:spacing w:after="0"/>
              <w:rPr>
                <w:sz w:val="24"/>
                <w:szCs w:val="24"/>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(a)   the middle market quotation of a Share as decided</w:t>
            </w:r>
          </w:p>
        </w:tc>
      </w:tr>
      <w:tr>
        <w:trPr>
          <w:trHeight w:val="230"/>
        </w:trPr>
        <w:tc>
          <w:tcPr>
            <w:tcW w:w="3500" w:type="dxa"/>
            <w:vAlign w:val="bottom"/>
          </w:tcPr>
          <w:p>
            <w:pPr>
              <w:spacing w:after="0"/>
              <w:rPr>
                <w:sz w:val="19"/>
                <w:szCs w:val="19"/>
                <w:color w:val="auto"/>
              </w:rPr>
            </w:pPr>
          </w:p>
        </w:tc>
        <w:tc>
          <w:tcPr>
            <w:tcW w:w="7740" w:type="dxa"/>
            <w:vAlign w:val="bottom"/>
          </w:tcPr>
          <w:p>
            <w:pPr>
              <w:ind w:left="920"/>
              <w:spacing w:after="0" w:line="230" w:lineRule="exact"/>
              <w:rPr>
                <w:sz w:val="20"/>
                <w:szCs w:val="20"/>
                <w:color w:val="auto"/>
              </w:rPr>
            </w:pPr>
            <w:r>
              <w:rPr>
                <w:rFonts w:ascii="Trebuchet MS" w:cs="Trebuchet MS" w:eastAsia="Trebuchet MS" w:hAnsi="Trebuchet MS"/>
                <w:sz w:val="20"/>
                <w:szCs w:val="20"/>
                <w:color w:val="auto"/>
              </w:rPr>
              <w:t>from the Official List for the dealing day immediately</w:t>
            </w:r>
          </w:p>
        </w:tc>
      </w:tr>
      <w:tr>
        <w:trPr>
          <w:trHeight w:val="236"/>
        </w:trPr>
        <w:tc>
          <w:tcPr>
            <w:tcW w:w="3500" w:type="dxa"/>
            <w:vAlign w:val="bottom"/>
          </w:tcPr>
          <w:p>
            <w:pPr>
              <w:spacing w:after="0"/>
              <w:rPr>
                <w:sz w:val="20"/>
                <w:szCs w:val="20"/>
                <w:color w:val="auto"/>
              </w:rPr>
            </w:pPr>
          </w:p>
        </w:tc>
        <w:tc>
          <w:tcPr>
            <w:tcW w:w="7740" w:type="dxa"/>
            <w:vAlign w:val="bottom"/>
          </w:tcPr>
          <w:p>
            <w:pPr>
              <w:ind w:left="920"/>
              <w:spacing w:after="0"/>
              <w:rPr>
                <w:sz w:val="20"/>
                <w:szCs w:val="20"/>
                <w:color w:val="auto"/>
              </w:rPr>
            </w:pPr>
            <w:r>
              <w:rPr>
                <w:rFonts w:ascii="Trebuchet MS" w:cs="Trebuchet MS" w:eastAsia="Trebuchet MS" w:hAnsi="Trebuchet MS"/>
                <w:sz w:val="20"/>
                <w:szCs w:val="20"/>
                <w:color w:val="auto"/>
              </w:rPr>
              <w:t>preceding the Date of Grant; or</w:t>
            </w:r>
          </w:p>
        </w:tc>
      </w:tr>
      <w:tr>
        <w:trPr>
          <w:trHeight w:val="439"/>
        </w:trPr>
        <w:tc>
          <w:tcPr>
            <w:tcW w:w="3500" w:type="dxa"/>
            <w:vAlign w:val="bottom"/>
          </w:tcPr>
          <w:p>
            <w:pPr>
              <w:spacing w:after="0"/>
              <w:rPr>
                <w:sz w:val="24"/>
                <w:szCs w:val="24"/>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(b)  (if the Shares are not for the time being so quoted)</w:t>
            </w:r>
          </w:p>
        </w:tc>
      </w:tr>
      <w:tr>
        <w:trPr>
          <w:trHeight w:val="229"/>
        </w:trPr>
        <w:tc>
          <w:tcPr>
            <w:tcW w:w="3500" w:type="dxa"/>
            <w:vAlign w:val="bottom"/>
          </w:tcPr>
          <w:p>
            <w:pPr>
              <w:spacing w:after="0"/>
              <w:rPr>
                <w:sz w:val="19"/>
                <w:szCs w:val="19"/>
                <w:color w:val="auto"/>
              </w:rPr>
            </w:pPr>
          </w:p>
        </w:tc>
        <w:tc>
          <w:tcPr>
            <w:tcW w:w="7740" w:type="dxa"/>
            <w:vAlign w:val="bottom"/>
          </w:tcPr>
          <w:p>
            <w:pPr>
              <w:ind w:left="920"/>
              <w:spacing w:after="0" w:line="230" w:lineRule="exact"/>
              <w:rPr>
                <w:sz w:val="20"/>
                <w:szCs w:val="20"/>
                <w:color w:val="auto"/>
              </w:rPr>
            </w:pPr>
            <w:r>
              <w:rPr>
                <w:rFonts w:ascii="Trebuchet MS" w:cs="Trebuchet MS" w:eastAsia="Trebuchet MS" w:hAnsi="Trebuchet MS"/>
                <w:sz w:val="20"/>
                <w:szCs w:val="20"/>
                <w:color w:val="auto"/>
              </w:rPr>
              <w:t>the price determined by the Board, as being the market</w:t>
            </w:r>
          </w:p>
        </w:tc>
      </w:tr>
      <w:tr>
        <w:trPr>
          <w:trHeight w:val="229"/>
        </w:trPr>
        <w:tc>
          <w:tcPr>
            <w:tcW w:w="3500" w:type="dxa"/>
            <w:vAlign w:val="bottom"/>
          </w:tcPr>
          <w:p>
            <w:pPr>
              <w:spacing w:after="0"/>
              <w:rPr>
                <w:sz w:val="19"/>
                <w:szCs w:val="19"/>
                <w:color w:val="auto"/>
              </w:rPr>
            </w:pPr>
          </w:p>
        </w:tc>
        <w:tc>
          <w:tcPr>
            <w:tcW w:w="7740" w:type="dxa"/>
            <w:vAlign w:val="bottom"/>
          </w:tcPr>
          <w:p>
            <w:pPr>
              <w:ind w:left="920"/>
              <w:spacing w:after="0" w:line="230" w:lineRule="exact"/>
              <w:rPr>
                <w:sz w:val="20"/>
                <w:szCs w:val="20"/>
                <w:color w:val="auto"/>
              </w:rPr>
            </w:pPr>
            <w:r>
              <w:rPr>
                <w:rFonts w:ascii="Trebuchet MS" w:cs="Trebuchet MS" w:eastAsia="Trebuchet MS" w:hAnsi="Trebuchet MS"/>
                <w:sz w:val="20"/>
                <w:szCs w:val="20"/>
                <w:color w:val="auto"/>
              </w:rPr>
              <w:t>value of a Share on the day prior to the day on which</w:t>
            </w:r>
          </w:p>
        </w:tc>
      </w:tr>
      <w:tr>
        <w:trPr>
          <w:trHeight w:val="236"/>
        </w:trPr>
        <w:tc>
          <w:tcPr>
            <w:tcW w:w="3500" w:type="dxa"/>
            <w:vAlign w:val="bottom"/>
          </w:tcPr>
          <w:p>
            <w:pPr>
              <w:spacing w:after="0"/>
              <w:rPr>
                <w:sz w:val="20"/>
                <w:szCs w:val="20"/>
                <w:color w:val="auto"/>
              </w:rPr>
            </w:pPr>
          </w:p>
        </w:tc>
        <w:tc>
          <w:tcPr>
            <w:tcW w:w="7740" w:type="dxa"/>
            <w:vAlign w:val="bottom"/>
          </w:tcPr>
          <w:p>
            <w:pPr>
              <w:ind w:left="920"/>
              <w:spacing w:after="0"/>
              <w:rPr>
                <w:sz w:val="20"/>
                <w:szCs w:val="20"/>
                <w:color w:val="auto"/>
              </w:rPr>
            </w:pPr>
            <w:r>
              <w:rPr>
                <w:rFonts w:ascii="Trebuchet MS" w:cs="Trebuchet MS" w:eastAsia="Trebuchet MS" w:hAnsi="Trebuchet MS"/>
                <w:sz w:val="20"/>
                <w:szCs w:val="20"/>
                <w:color w:val="auto"/>
              </w:rPr>
              <w:t>the Option in question is granted</w:t>
            </w:r>
          </w:p>
        </w:tc>
      </w:tr>
      <w:tr>
        <w:trPr>
          <w:trHeight w:val="446"/>
        </w:trPr>
        <w:tc>
          <w:tcPr>
            <w:tcW w:w="3500" w:type="dxa"/>
            <w:vAlign w:val="bottom"/>
          </w:tcPr>
          <w:p>
            <w:pPr>
              <w:spacing w:after="0"/>
              <w:rPr>
                <w:sz w:val="24"/>
                <w:szCs w:val="24"/>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and, for an EMI Option agreed by Shares Valuation at HMRC</w:t>
            </w:r>
          </w:p>
        </w:tc>
      </w:tr>
      <w:tr>
        <w:trPr>
          <w:trHeight w:val="439"/>
        </w:trPr>
        <w:tc>
          <w:tcPr>
            <w:tcW w:w="3500" w:type="dxa"/>
            <w:vAlign w:val="bottom"/>
          </w:tcPr>
          <w:p>
            <w:pPr>
              <w:spacing w:after="0"/>
              <w:rPr>
                <w:sz w:val="24"/>
                <w:szCs w:val="24"/>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and, for an Incentive Stock Option the Fair Market Value as</w:t>
            </w:r>
          </w:p>
        </w:tc>
      </w:tr>
      <w:tr>
        <w:trPr>
          <w:trHeight w:val="236"/>
        </w:trPr>
        <w:tc>
          <w:tcPr>
            <w:tcW w:w="3500" w:type="dxa"/>
            <w:vAlign w:val="bottom"/>
          </w:tcPr>
          <w:p>
            <w:pPr>
              <w:spacing w:after="0"/>
              <w:rPr>
                <w:sz w:val="20"/>
                <w:szCs w:val="20"/>
                <w:color w:val="auto"/>
              </w:rPr>
            </w:pPr>
          </w:p>
        </w:tc>
        <w:tc>
          <w:tcPr>
            <w:tcW w:w="7740" w:type="dxa"/>
            <w:vAlign w:val="bottom"/>
          </w:tcPr>
          <w:p>
            <w:pPr>
              <w:ind w:left="920"/>
              <w:spacing w:after="0"/>
              <w:rPr>
                <w:sz w:val="20"/>
                <w:szCs w:val="20"/>
                <w:color w:val="auto"/>
              </w:rPr>
            </w:pPr>
            <w:r>
              <w:rPr>
                <w:rFonts w:ascii="Trebuchet MS" w:cs="Trebuchet MS" w:eastAsia="Trebuchet MS" w:hAnsi="Trebuchet MS"/>
                <w:sz w:val="20"/>
                <w:szCs w:val="20"/>
                <w:color w:val="auto"/>
              </w:rPr>
              <w:t>defined in Schedule 3 to these Rules;</w:t>
            </w:r>
          </w:p>
        </w:tc>
      </w:tr>
      <w:tr>
        <w:trPr>
          <w:trHeight w:val="439"/>
        </w:trPr>
        <w:tc>
          <w:tcPr>
            <w:tcW w:w="35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“Material Interest”</w:t>
            </w: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means an interest in the Company as set out in paragraph</w:t>
            </w:r>
          </w:p>
        </w:tc>
      </w:tr>
      <w:tr>
        <w:trPr>
          <w:trHeight w:val="236"/>
        </w:trPr>
        <w:tc>
          <w:tcPr>
            <w:tcW w:w="3500" w:type="dxa"/>
            <w:vAlign w:val="bottom"/>
          </w:tcPr>
          <w:p>
            <w:pPr>
              <w:spacing w:after="0"/>
              <w:rPr>
                <w:sz w:val="20"/>
                <w:szCs w:val="20"/>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29 of Schedule 5;</w:t>
            </w:r>
          </w:p>
        </w:tc>
      </w:tr>
      <w:tr>
        <w:trPr>
          <w:trHeight w:val="448"/>
        </w:trPr>
        <w:tc>
          <w:tcPr>
            <w:tcW w:w="35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“NIC”</w:t>
            </w: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national insurance contributions;</w:t>
            </w:r>
          </w:p>
        </w:tc>
      </w:tr>
      <w:tr>
        <w:trPr>
          <w:trHeight w:val="437"/>
        </w:trPr>
        <w:tc>
          <w:tcPr>
            <w:tcW w:w="35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“Notice of Exercise”</w:t>
            </w: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a notice of exercise substantially in the form set out in the</w:t>
            </w:r>
          </w:p>
        </w:tc>
      </w:tr>
      <w:tr>
        <w:trPr>
          <w:trHeight w:val="236"/>
        </w:trPr>
        <w:tc>
          <w:tcPr>
            <w:tcW w:w="3500" w:type="dxa"/>
            <w:vAlign w:val="bottom"/>
          </w:tcPr>
          <w:p>
            <w:pPr>
              <w:spacing w:after="0"/>
              <w:rPr>
                <w:sz w:val="20"/>
                <w:szCs w:val="20"/>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Appendix to the Option Agreement;</w:t>
            </w:r>
          </w:p>
        </w:tc>
      </w:tr>
      <w:tr>
        <w:trPr>
          <w:trHeight w:val="439"/>
        </w:trPr>
        <w:tc>
          <w:tcPr>
            <w:tcW w:w="350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“Notice of Grant”</w:t>
            </w: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in the case of Options which are to be EMI Options, a</w:t>
            </w:r>
          </w:p>
        </w:tc>
      </w:tr>
      <w:tr>
        <w:trPr>
          <w:trHeight w:val="236"/>
        </w:trPr>
        <w:tc>
          <w:tcPr>
            <w:tcW w:w="3500" w:type="dxa"/>
            <w:vAlign w:val="bottom"/>
          </w:tcPr>
          <w:p>
            <w:pPr>
              <w:spacing w:after="0"/>
              <w:rPr>
                <w:sz w:val="20"/>
                <w:szCs w:val="20"/>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notification to HMRC to be jointly signed by</w:t>
            </w:r>
          </w:p>
        </w:tc>
      </w:tr>
      <w:tr>
        <w:trPr>
          <w:trHeight w:val="446"/>
        </w:trPr>
        <w:tc>
          <w:tcPr>
            <w:tcW w:w="3500" w:type="dxa"/>
            <w:vAlign w:val="bottom"/>
          </w:tcPr>
          <w:p>
            <w:pPr>
              <w:spacing w:after="0"/>
              <w:rPr>
                <w:sz w:val="24"/>
                <w:szCs w:val="24"/>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(a)   the employer company of the Option Holder and</w:t>
            </w:r>
          </w:p>
        </w:tc>
      </w:tr>
      <w:tr>
        <w:trPr>
          <w:trHeight w:val="445"/>
        </w:trPr>
        <w:tc>
          <w:tcPr>
            <w:tcW w:w="3500" w:type="dxa"/>
            <w:vAlign w:val="bottom"/>
          </w:tcPr>
          <w:p>
            <w:pPr>
              <w:spacing w:after="0"/>
              <w:rPr>
                <w:sz w:val="24"/>
                <w:szCs w:val="24"/>
                <w:color w:val="auto"/>
              </w:rPr>
            </w:pPr>
          </w:p>
        </w:tc>
        <w:tc>
          <w:tcPr>
            <w:tcW w:w="7740" w:type="dxa"/>
            <w:vAlign w:val="bottom"/>
          </w:tcPr>
          <w:p>
            <w:pPr>
              <w:ind w:left="620"/>
              <w:spacing w:after="0"/>
              <w:rPr>
                <w:sz w:val="20"/>
                <w:szCs w:val="20"/>
                <w:color w:val="auto"/>
              </w:rPr>
            </w:pPr>
            <w:r>
              <w:rPr>
                <w:rFonts w:ascii="Trebuchet MS" w:cs="Trebuchet MS" w:eastAsia="Trebuchet MS" w:hAnsi="Trebuchet MS"/>
                <w:sz w:val="20"/>
                <w:szCs w:val="20"/>
                <w:color w:val="auto"/>
              </w:rPr>
              <w:t>(b)  the Option Holder</w:t>
            </w:r>
          </w:p>
        </w:tc>
      </w:tr>
      <w:tr>
        <w:trPr>
          <w:trHeight w:val="445"/>
        </w:trPr>
        <w:tc>
          <w:tcPr>
            <w:tcW w:w="3500" w:type="dxa"/>
            <w:vAlign w:val="bottom"/>
          </w:tcPr>
          <w:p>
            <w:pPr>
              <w:spacing w:after="0"/>
              <w:rPr>
                <w:sz w:val="24"/>
                <w:szCs w:val="24"/>
                <w:color w:val="auto"/>
              </w:rPr>
            </w:pPr>
          </w:p>
        </w:tc>
        <w:tc>
          <w:tcPr>
            <w:tcW w:w="7740" w:type="dxa"/>
            <w:vAlign w:val="bottom"/>
          </w:tcPr>
          <w:p>
            <w:pPr>
              <w:ind w:left="2080"/>
              <w:spacing w:after="0"/>
              <w:rPr>
                <w:sz w:val="20"/>
                <w:szCs w:val="20"/>
                <w:color w:val="auto"/>
              </w:rPr>
            </w:pPr>
            <w:r>
              <w:rPr>
                <w:rFonts w:ascii="Trebuchet MS" w:cs="Trebuchet MS" w:eastAsia="Trebuchet MS" w:hAnsi="Trebuchet MS"/>
                <w:sz w:val="20"/>
                <w:szCs w:val="20"/>
                <w:color w:val="auto"/>
              </w:rPr>
              <w:t>4</w:t>
            </w:r>
          </w:p>
        </w:tc>
      </w:tr>
      <w:tr>
        <w:trPr>
          <w:trHeight w:val="794"/>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in such form required by HMRC from time to time;</w:t>
            </w:r>
          </w:p>
        </w:tc>
      </w:tr>
      <w:tr>
        <w:trPr>
          <w:trHeight w:val="448"/>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“Official List”</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the official listing as referred to in Part VI FSMA;</w:t>
            </w:r>
          </w:p>
        </w:tc>
      </w:tr>
      <w:tr>
        <w:trPr>
          <w:trHeight w:val="437"/>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"Option"</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an option to acquire Shares granted under these Rules,</w:t>
            </w:r>
          </w:p>
        </w:tc>
      </w:tr>
      <w:tr>
        <w:trPr>
          <w:trHeight w:val="230"/>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whether an EMI Option or an Unapproved Option or an</w:t>
            </w:r>
          </w:p>
        </w:tc>
      </w:t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Incentive Stock Option;</w:t>
            </w:r>
          </w:p>
        </w:tc>
      </w:tr>
      <w:tr>
        <w:trPr>
          <w:trHeight w:val="439"/>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“Option Agreement”</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a written agreement between the Company and the Option</w:t>
            </w:r>
          </w:p>
        </w:tc>
      </w:tr>
      <w:tr>
        <w:trPr>
          <w:trHeight w:val="229"/>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Holder in the form of a deed substantially in the form set</w:t>
            </w:r>
          </w:p>
        </w:tc>
      </w:tr>
      <w:tr>
        <w:trPr>
          <w:trHeight w:val="230"/>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out in Schedule 2 to these Rules and (i) if it is an EMI</w:t>
            </w:r>
          </w:p>
        </w:tc>
      </w:tr>
      <w:tr>
        <w:trPr>
          <w:trHeight w:val="229"/>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Option containing the information required by Schedule 5;</w:t>
            </w:r>
          </w:p>
        </w:tc>
      </w:tr>
      <w:tr>
        <w:trPr>
          <w:trHeight w:val="229"/>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and (ii) if it is an Incentive Stock Option being subject to</w:t>
            </w:r>
          </w:p>
        </w:tc>
      </w:t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the provisions of Schedule 3 to these Rules;</w:t>
            </w:r>
          </w:p>
        </w:tc>
      </w:tr>
      <w:tr>
        <w:trPr>
          <w:trHeight w:val="439"/>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“Option Holder”</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a  person  who  holds  an  Option  or  (where  the  context</w:t>
            </w:r>
          </w:p>
        </w:tc>
      </w:t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admits) his personal representatives;</w:t>
            </w:r>
          </w:p>
        </w:tc>
      </w:tr>
      <w:tr>
        <w:trPr>
          <w:trHeight w:val="439"/>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“Option Price</w:t>
            </w:r>
            <w:r>
              <w:rPr>
                <w:rFonts w:ascii="Trebuchet MS" w:cs="Trebuchet MS" w:eastAsia="Trebuchet MS" w:hAnsi="Trebuchet MS"/>
                <w:sz w:val="20"/>
                <w:szCs w:val="20"/>
                <w:color w:val="auto"/>
              </w:rPr>
              <w:t>”</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the price at which each Share may be acquired on the</w:t>
            </w:r>
          </w:p>
        </w:tc>
      </w:tr>
      <w:tr>
        <w:trPr>
          <w:trHeight w:val="230"/>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exercise of an  Option determined by the Board at the</w:t>
            </w:r>
          </w:p>
        </w:tc>
      </w:tr>
      <w:tr>
        <w:trPr>
          <w:trHeight w:val="229"/>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Date of Grant being not substantially less than the Market</w:t>
            </w:r>
          </w:p>
        </w:tc>
      </w:tr>
      <w:tr>
        <w:trPr>
          <w:trHeight w:val="229"/>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Value and, subject to Rule 10, not less than the nominal</w:t>
            </w:r>
          </w:p>
        </w:tc>
      </w:tr>
      <w:tr>
        <w:trPr>
          <w:trHeight w:val="230"/>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value of the Share where the Shares are to be acquired by</w:t>
            </w:r>
          </w:p>
        </w:tc>
      </w:t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direct issue from the Company;</w:t>
            </w:r>
          </w:p>
        </w:tc>
      </w:tr>
      <w:tr>
        <w:trPr>
          <w:trHeight w:val="439"/>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“Qualifying Option”</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an  option  which  at  the  time  of  grant  meets  the</w:t>
            </w:r>
          </w:p>
        </w:tc>
      </w:tr>
      <w:tr>
        <w:trPr>
          <w:trHeight w:val="230"/>
        </w:trPr>
        <w:tc>
          <w:tcPr>
            <w:tcW w:w="3640" w:type="dxa"/>
            <w:vAlign w:val="bottom"/>
          </w:tcPr>
          <w:p>
            <w:pPr>
              <w:spacing w:after="0"/>
              <w:rPr>
                <w:sz w:val="19"/>
                <w:szCs w:val="19"/>
                <w:color w:val="auto"/>
              </w:rPr>
            </w:pPr>
          </w:p>
        </w:tc>
        <w:tc>
          <w:tcPr>
            <w:tcW w:w="7600" w:type="dxa"/>
            <w:vAlign w:val="bottom"/>
          </w:tcPr>
          <w:p>
            <w:pPr>
              <w:ind w:left="480"/>
              <w:spacing w:after="0" w:line="230" w:lineRule="exact"/>
              <w:rPr>
                <w:sz w:val="20"/>
                <w:szCs w:val="20"/>
                <w:color w:val="auto"/>
              </w:rPr>
            </w:pPr>
            <w:r>
              <w:rPr>
                <w:rFonts w:ascii="Trebuchet MS" w:cs="Trebuchet MS" w:eastAsia="Trebuchet MS" w:hAnsi="Trebuchet MS"/>
                <w:sz w:val="20"/>
                <w:szCs w:val="20"/>
                <w:color w:val="auto"/>
              </w:rPr>
              <w:t>requirements of Schedule 5 and in respect of which a</w:t>
            </w:r>
          </w:p>
        </w:tc>
      </w:t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Notice of Grant is executed;</w:t>
            </w:r>
          </w:p>
        </w:tc>
      </w:tr>
      <w:tr>
        <w:trPr>
          <w:trHeight w:val="448"/>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“Qualifying Subsidiary”</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has the meaning given in paragraph 11 of Schedule 5;</w:t>
            </w:r>
          </w:p>
        </w:tc>
      </w:tr>
      <w:tr>
        <w:trPr>
          <w:trHeight w:val="437"/>
        </w:trPr>
        <w:tc>
          <w:tcPr>
            <w:tcW w:w="364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“Redundancy”</w:t>
            </w: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termination of employment by reason of redundancy in</w:t>
            </w:r>
          </w:p>
        </w:tc>
      </w:tr>
      <w:tr>
        <w:trPr>
          <w:trHeight w:val="236"/>
        </w:trPr>
        <w:tc>
          <w:tcPr>
            <w:tcW w:w="3640" w:type="dxa"/>
            <w:vAlign w:val="bottom"/>
          </w:tcPr>
          <w:p>
            <w:pPr>
              <w:spacing w:after="0"/>
              <w:rPr>
                <w:sz w:val="20"/>
                <w:szCs w:val="20"/>
                <w:color w:val="auto"/>
              </w:rPr>
            </w:pPr>
          </w:p>
        </w:tc>
        <w:tc>
          <w:tcPr>
            <w:tcW w:w="7600" w:type="dxa"/>
            <w:vAlign w:val="bottom"/>
          </w:tcPr>
          <w:p>
            <w:pPr>
              <w:ind w:left="480"/>
              <w:spacing w:after="0"/>
              <w:rPr>
                <w:sz w:val="20"/>
                <w:szCs w:val="20"/>
                <w:color w:val="auto"/>
              </w:rPr>
            </w:pPr>
            <w:r>
              <w:rPr>
                <w:rFonts w:ascii="Trebuchet MS" w:cs="Trebuchet MS" w:eastAsia="Trebuchet MS" w:hAnsi="Trebuchet MS"/>
                <w:sz w:val="20"/>
                <w:szCs w:val="20"/>
                <w:color w:val="auto"/>
              </w:rPr>
              <w:t>accordance with section 139 Employment Rights Act 1996;</w:t>
            </w:r>
          </w:p>
        </w:tc>
      </w:tr>
      <w:tr>
        <w:trPr>
          <w:trHeight w:val="445"/>
        </w:trPr>
        <w:tc>
          <w:tcPr>
            <w:tcW w:w="3640" w:type="dxa"/>
            <w:vAlign w:val="bottom"/>
          </w:tcPr>
          <w:p>
            <w:pPr>
              <w:spacing w:after="0"/>
              <w:rPr>
                <w:sz w:val="24"/>
                <w:szCs w:val="24"/>
                <w:color w:val="auto"/>
              </w:rPr>
            </w:pPr>
          </w:p>
        </w:tc>
        <w:tc>
          <w:tcPr>
            <w:tcW w:w="7600" w:type="dxa"/>
            <w:vAlign w:val="bottom"/>
          </w:tcPr>
          <w:p>
            <w:pPr>
              <w:ind w:left="1940"/>
              <w:spacing w:after="0"/>
              <w:rPr>
                <w:sz w:val="20"/>
                <w:szCs w:val="20"/>
                <w:color w:val="auto"/>
              </w:rPr>
            </w:pPr>
            <w:r>
              <w:rPr>
                <w:rFonts w:ascii="Trebuchet MS" w:cs="Trebuchet MS" w:eastAsia="Trebuchet MS" w:hAnsi="Trebuchet MS"/>
                <w:sz w:val="20"/>
                <w:szCs w:val="20"/>
                <w:color w:val="auto"/>
              </w:rPr>
              <w:t>5</w:t>
            </w:r>
          </w:p>
        </w:tc>
      </w:tr>
      <w:tr>
        <w:trPr>
          <w:trHeight w:val="794"/>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8"/>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“Relevant CSOP Option”</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an option to acquire shares under a scheme approved</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pursuant to the provisions of Schedule 4 ITEPA;</w:t>
            </w:r>
          </w:p>
        </w:tc>
      </w:tr>
      <w:tr>
        <w:trPr>
          <w:trHeight w:val="439"/>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“Rules”</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these rules of the Scheme as from time to time altered</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pursuant to the provisions of Rule 11;</w:t>
            </w:r>
          </w:p>
        </w:tc>
      </w:tr>
      <w:tr>
        <w:trPr>
          <w:trHeight w:val="439"/>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“Sale”</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the  making  of  one  or  more  agreements  (whether</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conditional or not) for an acquisition of the Capital of the</w:t>
            </w:r>
          </w:p>
        </w:tc>
      </w:tr>
      <w:tr>
        <w:trPr>
          <w:trHeight w:val="229"/>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Company  giving  rise  to  a  change  of  Control  of  the</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Company;</w:t>
            </w:r>
          </w:p>
        </w:tc>
      </w:tr>
      <w:tr>
        <w:trPr>
          <w:trHeight w:val="448"/>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“Schedule 5”</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Schedule 5 ITEPA;</w:t>
            </w:r>
          </w:p>
        </w:tc>
      </w:tr>
      <w:tr>
        <w:trPr>
          <w:trHeight w:val="437"/>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“Scheme”</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means  the  2016  NuCana  Biomed  Limited  Share  Option</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Scheme;</w:t>
            </w:r>
          </w:p>
        </w:tc>
      </w:tr>
      <w:tr>
        <w:trPr>
          <w:trHeight w:val="439"/>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“Secondary NIC Liability”</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any  employer’s  secondary  NIC  charge  arising  on  the</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exercise or release of an Option;</w:t>
            </w:r>
          </w:p>
        </w:tc>
      </w:tr>
      <w:tr>
        <w:trPr>
          <w:trHeight w:val="447"/>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“Share”</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a fully paid ordinary share of the Company;</w:t>
            </w:r>
          </w:p>
        </w:tc>
      </w:tr>
      <w:tr>
        <w:trPr>
          <w:trHeight w:val="437"/>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“Subsidiaries”</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a subsidiary as defined under section 1159 Companies Act</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2006;</w:t>
            </w:r>
          </w:p>
        </w:tc>
      </w:tr>
      <w:tr>
        <w:trPr>
          <w:trHeight w:val="439"/>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“Tax Liabilities”</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any income tax and NIC charge arising as a consequence of</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the exercise or release of the  Option or in respect of the</w:t>
            </w:r>
          </w:p>
        </w:tc>
      </w:tr>
      <w:tr>
        <w:trPr>
          <w:trHeight w:val="229"/>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Shares acquired pursuant to the exercise of such options</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and including arising under a Joint Election or receipt of</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money or money’s worth in connection with such Options</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or the acquired Shares, for which the Company or a Group</w:t>
            </w:r>
          </w:p>
        </w:tc>
      </w:tr>
      <w:tr>
        <w:trPr>
          <w:trHeight w:val="229"/>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Member has accounted or is required to account for to</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HMRC  and  including,  unless  otherwise  stated,  where</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permitted  by  law  the  employer’s  national  insurance</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contributions (or their equivalent);</w:t>
            </w:r>
          </w:p>
        </w:tc>
      </w:tr>
      <w:tr>
        <w:trPr>
          <w:trHeight w:val="448"/>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“TCGA”</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the Taxation of Chargeable Gains Act 1992;</w:t>
            </w:r>
          </w:p>
        </w:tc>
      </w:tr>
      <w:tr>
        <w:trPr>
          <w:trHeight w:val="437"/>
        </w:trPr>
        <w:tc>
          <w:tcPr>
            <w:tcW w:w="3720" w:type="dxa"/>
            <w:vAlign w:val="bottom"/>
          </w:tcPr>
          <w:p>
            <w:pPr>
              <w:ind w:left="960"/>
              <w:spacing w:after="0"/>
              <w:rPr>
                <w:sz w:val="20"/>
                <w:szCs w:val="20"/>
                <w:color w:val="auto"/>
              </w:rPr>
            </w:pPr>
            <w:r>
              <w:rPr>
                <w:rFonts w:ascii="Trebuchet MS" w:cs="Trebuchet MS" w:eastAsia="Trebuchet MS" w:hAnsi="Trebuchet MS"/>
                <w:sz w:val="20"/>
                <w:szCs w:val="20"/>
                <w:b w:val="1"/>
                <w:bCs w:val="1"/>
                <w:color w:val="auto"/>
              </w:rPr>
              <w:t>“UK Listing Authority”</w:t>
            </w: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the Financial Services Authority acting in its capacity as</w:t>
            </w:r>
          </w:p>
        </w:tc>
      </w:tr>
      <w:tr>
        <w:trPr>
          <w:trHeight w:val="230"/>
        </w:trPr>
        <w:tc>
          <w:tcPr>
            <w:tcW w:w="3720" w:type="dxa"/>
            <w:vAlign w:val="bottom"/>
          </w:tcPr>
          <w:p>
            <w:pPr>
              <w:spacing w:after="0"/>
              <w:rPr>
                <w:sz w:val="19"/>
                <w:szCs w:val="19"/>
                <w:color w:val="auto"/>
              </w:rPr>
            </w:pPr>
          </w:p>
        </w:tc>
        <w:tc>
          <w:tcPr>
            <w:tcW w:w="7520" w:type="dxa"/>
            <w:vAlign w:val="bottom"/>
          </w:tcPr>
          <w:p>
            <w:pPr>
              <w:ind w:left="400"/>
              <w:spacing w:after="0" w:line="230" w:lineRule="exact"/>
              <w:rPr>
                <w:sz w:val="20"/>
                <w:szCs w:val="20"/>
                <w:color w:val="auto"/>
              </w:rPr>
            </w:pPr>
            <w:r>
              <w:rPr>
                <w:rFonts w:ascii="Trebuchet MS" w:cs="Trebuchet MS" w:eastAsia="Trebuchet MS" w:hAnsi="Trebuchet MS"/>
                <w:sz w:val="20"/>
                <w:szCs w:val="20"/>
                <w:color w:val="auto"/>
              </w:rPr>
              <w:t>the  competent  authority  for  the  purposes  of  Part  VI</w:t>
            </w:r>
          </w:p>
        </w:tc>
      </w:tr>
      <w:tr>
        <w:trPr>
          <w:trHeight w:val="236"/>
        </w:trPr>
        <w:tc>
          <w:tcPr>
            <w:tcW w:w="37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Trebuchet MS" w:cs="Trebuchet MS" w:eastAsia="Trebuchet MS" w:hAnsi="Trebuchet MS"/>
                <w:sz w:val="20"/>
                <w:szCs w:val="20"/>
                <w:color w:val="auto"/>
              </w:rPr>
              <w:t>Financial Services and Markets Act 2000;</w:t>
            </w:r>
          </w:p>
        </w:tc>
      </w:tr>
      <w:tr>
        <w:trPr>
          <w:trHeight w:val="445"/>
        </w:trPr>
        <w:tc>
          <w:tcPr>
            <w:tcW w:w="3720" w:type="dxa"/>
            <w:vAlign w:val="bottom"/>
          </w:tcPr>
          <w:p>
            <w:pPr>
              <w:spacing w:after="0"/>
              <w:rPr>
                <w:sz w:val="24"/>
                <w:szCs w:val="24"/>
                <w:color w:val="auto"/>
              </w:rPr>
            </w:pPr>
          </w:p>
        </w:tc>
        <w:tc>
          <w:tcPr>
            <w:tcW w:w="7520" w:type="dxa"/>
            <w:vAlign w:val="bottom"/>
          </w:tcPr>
          <w:p>
            <w:pPr>
              <w:ind w:left="1860"/>
              <w:spacing w:after="0"/>
              <w:rPr>
                <w:sz w:val="20"/>
                <w:szCs w:val="20"/>
                <w:color w:val="auto"/>
              </w:rPr>
            </w:pPr>
            <w:r>
              <w:rPr>
                <w:rFonts w:ascii="Trebuchet MS" w:cs="Trebuchet MS" w:eastAsia="Trebuchet MS" w:hAnsi="Trebuchet MS"/>
                <w:sz w:val="20"/>
                <w:szCs w:val="20"/>
                <w:color w:val="auto"/>
              </w:rPr>
              <w:t>6</w:t>
            </w:r>
          </w:p>
        </w:tc>
      </w:tr>
      <w:tr>
        <w:trPr>
          <w:trHeight w:val="794"/>
        </w:trPr>
        <w:tc>
          <w:tcPr>
            <w:tcW w:w="37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8" w:name="page249"/>
    <w:bookmarkEnd w:id="248"/>
    <w:p>
      <w:pPr>
        <w:ind w:left="4120" w:right="1800" w:hanging="3158"/>
        <w:spacing w:after="0"/>
        <w:tabs>
          <w:tab w:leader="none" w:pos="4100" w:val="left"/>
        </w:tabs>
        <w:rPr>
          <w:sz w:val="20"/>
          <w:szCs w:val="20"/>
          <w:color w:val="auto"/>
        </w:rPr>
      </w:pPr>
      <w:r>
        <w:rPr>
          <w:rFonts w:ascii="Trebuchet MS" w:cs="Trebuchet MS" w:eastAsia="Trebuchet MS" w:hAnsi="Trebuchet MS"/>
          <w:sz w:val="20"/>
          <w:szCs w:val="20"/>
          <w:b w:val="1"/>
          <w:bCs w:val="1"/>
          <w:color w:val="auto"/>
        </w:rPr>
        <w:t>“Unapproved Option”</w:t>
      </w:r>
      <w:r>
        <w:rPr>
          <w:sz w:val="20"/>
          <w:szCs w:val="20"/>
          <w:color w:val="auto"/>
        </w:rPr>
        <w:tab/>
      </w:r>
      <w:r>
        <w:rPr>
          <w:rFonts w:ascii="Trebuchet MS" w:cs="Trebuchet MS" w:eastAsia="Trebuchet MS" w:hAnsi="Trebuchet MS"/>
          <w:sz w:val="20"/>
          <w:szCs w:val="20"/>
          <w:color w:val="auto"/>
        </w:rPr>
        <w:t>an option to acquire Shares granted under this Scheme and subject to these Rules which:</w:t>
      </w:r>
    </w:p>
    <w:p>
      <w:pPr>
        <w:spacing w:after="0" w:line="219" w:lineRule="exact"/>
        <w:rPr>
          <w:sz w:val="20"/>
          <w:szCs w:val="20"/>
          <w:color w:val="auto"/>
        </w:rPr>
      </w:pPr>
    </w:p>
    <w:p>
      <w:pPr>
        <w:ind w:left="4600" w:hanging="475"/>
        <w:spacing w:after="0"/>
        <w:tabs>
          <w:tab w:leader="none" w:pos="4600" w:val="left"/>
        </w:tabs>
        <w:numPr>
          <w:ilvl w:val="0"/>
          <w:numId w:val="18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is designated an Unapproved Option; and/or</w:t>
      </w:r>
    </w:p>
    <w:p>
      <w:pPr>
        <w:spacing w:after="0" w:line="213" w:lineRule="exact"/>
        <w:rPr>
          <w:rFonts w:ascii="Trebuchet MS" w:cs="Trebuchet MS" w:eastAsia="Trebuchet MS" w:hAnsi="Trebuchet MS"/>
          <w:sz w:val="20"/>
          <w:szCs w:val="20"/>
          <w:color w:val="auto"/>
        </w:rPr>
      </w:pPr>
    </w:p>
    <w:p>
      <w:pPr>
        <w:jc w:val="both"/>
        <w:ind w:left="4480" w:right="1780" w:hanging="355"/>
        <w:spacing w:after="0" w:line="239" w:lineRule="auto"/>
        <w:tabs>
          <w:tab w:leader="none" w:pos="4610" w:val="left"/>
        </w:tabs>
        <w:numPr>
          <w:ilvl w:val="0"/>
          <w:numId w:val="18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does not fall within the provisions of Schedules 3, 4 or 5 ITEPA and does not satisfy the EMI Code but in respect of which these Rules apply; and/or</w:t>
      </w:r>
    </w:p>
    <w:p>
      <w:pPr>
        <w:spacing w:after="0" w:line="210" w:lineRule="exact"/>
        <w:rPr>
          <w:rFonts w:ascii="Trebuchet MS" w:cs="Trebuchet MS" w:eastAsia="Trebuchet MS" w:hAnsi="Trebuchet MS"/>
          <w:sz w:val="20"/>
          <w:szCs w:val="20"/>
          <w:color w:val="auto"/>
        </w:rPr>
      </w:pPr>
    </w:p>
    <w:p>
      <w:pPr>
        <w:ind w:left="4480" w:right="1800" w:hanging="355"/>
        <w:spacing w:after="0"/>
        <w:tabs>
          <w:tab w:leader="none" w:pos="4525" w:val="left"/>
        </w:tabs>
        <w:numPr>
          <w:ilvl w:val="0"/>
          <w:numId w:val="18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Non-Qualified Option as defined in paragraph 3.3 of Schedule 3 to these Rules.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hanging="748"/>
        <w:spacing w:after="0"/>
        <w:tabs>
          <w:tab w:leader="none" w:pos="460" w:val="left"/>
        </w:tabs>
        <w:rPr>
          <w:sz w:val="20"/>
          <w:szCs w:val="20"/>
          <w:color w:val="auto"/>
        </w:rPr>
      </w:pPr>
      <w:r>
        <w:rPr>
          <w:rFonts w:ascii="Trebuchet MS" w:cs="Trebuchet MS" w:eastAsia="Trebuchet MS" w:hAnsi="Trebuchet MS"/>
          <w:sz w:val="20"/>
          <w:szCs w:val="20"/>
          <w:color w:val="auto"/>
        </w:rPr>
        <w:t>1.2</w:t>
        <w:tab/>
        <w:t>Words denoting the singular shall include the plural and vice versa and words denoting the masculine gender shall include the feminine gender.</w:t>
      </w:r>
    </w:p>
    <w:p>
      <w:pPr>
        <w:spacing w:after="0" w:line="211"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1.3</w:t>
      </w:r>
      <w:r>
        <w:rPr>
          <w:sz w:val="20"/>
          <w:szCs w:val="20"/>
          <w:color w:val="auto"/>
        </w:rPr>
        <w:tab/>
      </w:r>
      <w:r>
        <w:rPr>
          <w:rFonts w:ascii="Trebuchet MS" w:cs="Trebuchet MS" w:eastAsia="Trebuchet MS" w:hAnsi="Trebuchet MS"/>
          <w:sz w:val="19"/>
          <w:szCs w:val="19"/>
          <w:color w:val="auto"/>
        </w:rPr>
        <w:t>Rule headings are inserted for convenience only and are to be ignored in construing these Rules.</w:t>
      </w:r>
    </w:p>
    <w:p>
      <w:pPr>
        <w:spacing w:after="0" w:line="213" w:lineRule="exact"/>
        <w:rPr>
          <w:sz w:val="20"/>
          <w:szCs w:val="20"/>
          <w:color w:val="auto"/>
        </w:rPr>
      </w:pPr>
    </w:p>
    <w:p>
      <w:pPr>
        <w:ind w:left="480" w:right="20" w:hanging="748"/>
        <w:spacing w:after="0"/>
        <w:tabs>
          <w:tab w:leader="none" w:pos="460" w:val="left"/>
        </w:tabs>
        <w:rPr>
          <w:sz w:val="20"/>
          <w:szCs w:val="20"/>
          <w:color w:val="auto"/>
        </w:rPr>
      </w:pPr>
      <w:r>
        <w:rPr>
          <w:rFonts w:ascii="Trebuchet MS" w:cs="Trebuchet MS" w:eastAsia="Trebuchet MS" w:hAnsi="Trebuchet MS"/>
          <w:sz w:val="20"/>
          <w:szCs w:val="20"/>
          <w:color w:val="auto"/>
        </w:rPr>
        <w:t>1.4</w:t>
        <w:tab/>
        <w:t>References in these Rules to any statute shall be deemed to include every modification, amendment and/or re-enactment by statute or sub-ordinate legislation for the time being in force.</w:t>
      </w:r>
    </w:p>
    <w:p>
      <w:pPr>
        <w:spacing w:after="0" w:line="203"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1.5</w:t>
      </w:r>
      <w:r>
        <w:rPr>
          <w:sz w:val="20"/>
          <w:szCs w:val="20"/>
          <w:color w:val="auto"/>
        </w:rPr>
        <w:tab/>
      </w:r>
      <w:r>
        <w:rPr>
          <w:rFonts w:ascii="Trebuchet MS" w:cs="Trebuchet MS" w:eastAsia="Trebuchet MS" w:hAnsi="Trebuchet MS"/>
          <w:sz w:val="19"/>
          <w:szCs w:val="19"/>
          <w:color w:val="auto"/>
        </w:rPr>
        <w:t>References in these Rules to “</w:t>
      </w:r>
      <w:r>
        <w:rPr>
          <w:rFonts w:ascii="Trebuchet MS" w:cs="Trebuchet MS" w:eastAsia="Trebuchet MS" w:hAnsi="Trebuchet MS"/>
          <w:sz w:val="19"/>
          <w:szCs w:val="19"/>
          <w:b w:val="1"/>
          <w:bCs w:val="1"/>
          <w:color w:val="auto"/>
        </w:rPr>
        <w:t>month’</w:t>
      </w:r>
      <w:r>
        <w:rPr>
          <w:rFonts w:ascii="Trebuchet MS" w:cs="Trebuchet MS" w:eastAsia="Trebuchet MS" w:hAnsi="Trebuchet MS"/>
          <w:sz w:val="19"/>
          <w:szCs w:val="19"/>
          <w:color w:val="auto"/>
        </w:rPr>
        <w:t xml:space="preserve"> shall be deemed to be references to a calendar month.</w:t>
      </w:r>
    </w:p>
    <w:p>
      <w:pPr>
        <w:spacing w:after="0" w:line="213" w:lineRule="exact"/>
        <w:rPr>
          <w:sz w:val="20"/>
          <w:szCs w:val="20"/>
          <w:color w:val="auto"/>
        </w:rPr>
      </w:pPr>
    </w:p>
    <w:p>
      <w:pPr>
        <w:ind w:left="480" w:hanging="472"/>
        <w:spacing w:after="0"/>
        <w:tabs>
          <w:tab w:leader="none" w:pos="480" w:val="left"/>
        </w:tabs>
        <w:numPr>
          <w:ilvl w:val="0"/>
          <w:numId w:val="181"/>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PROVISIONS RELATING TO THE GRANT OF OPTIONS</w:t>
      </w:r>
    </w:p>
    <w:p>
      <w:pPr>
        <w:spacing w:after="0" w:line="219"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2.1</w:t>
        <w:tab/>
        <w:t>In its absolute discretion, the Board has the power to grant Options (whether EMI Options or Unapproved Options or</w:t>
      </w:r>
    </w:p>
    <w:p>
      <w:pPr>
        <w:ind w:left="740"/>
        <w:spacing w:after="0"/>
        <w:rPr>
          <w:sz w:val="20"/>
          <w:szCs w:val="20"/>
          <w:color w:val="auto"/>
        </w:rPr>
      </w:pPr>
      <w:r>
        <w:rPr>
          <w:rFonts w:ascii="Trebuchet MS" w:cs="Trebuchet MS" w:eastAsia="Trebuchet MS" w:hAnsi="Trebuchet MS"/>
          <w:sz w:val="20"/>
          <w:szCs w:val="20"/>
          <w:color w:val="auto"/>
        </w:rPr>
        <w:t>Incentive Stock Options) under the Scheme to Eligible Employees:</w:t>
      </w:r>
    </w:p>
    <w:p>
      <w:pPr>
        <w:spacing w:after="0" w:line="213" w:lineRule="exact"/>
        <w:rPr>
          <w:sz w:val="20"/>
          <w:szCs w:val="20"/>
          <w:color w:val="auto"/>
        </w:rPr>
      </w:pPr>
    </w:p>
    <w:p>
      <w:pPr>
        <w:ind w:left="1220" w:hanging="475"/>
        <w:spacing w:after="0"/>
        <w:tabs>
          <w:tab w:leader="none" w:pos="1220" w:val="left"/>
        </w:tabs>
        <w:numPr>
          <w:ilvl w:val="0"/>
          <w:numId w:val="18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subject to the limitations and conditions contained in these Rules;</w:t>
      </w:r>
    </w:p>
    <w:p>
      <w:pPr>
        <w:spacing w:after="0" w:line="213"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18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provided they are not prohibited by law; and</w:t>
      </w:r>
    </w:p>
    <w:p>
      <w:pPr>
        <w:spacing w:after="0" w:line="213"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18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for commercial reasons in order to recruit or retain an Eligible Employee in the Group.</w:t>
      </w:r>
    </w:p>
    <w:p>
      <w:pPr>
        <w:spacing w:after="0" w:line="213" w:lineRule="exact"/>
        <w:rPr>
          <w:rFonts w:ascii="Trebuchet MS" w:cs="Trebuchet MS" w:eastAsia="Trebuchet MS" w:hAnsi="Trebuchet MS"/>
          <w:sz w:val="20"/>
          <w:szCs w:val="20"/>
          <w:color w:val="auto"/>
        </w:rPr>
      </w:pPr>
    </w:p>
    <w:p>
      <w:pPr>
        <w:spacing w:after="0"/>
        <w:rPr>
          <w:rFonts w:ascii="Trebuchet MS" w:cs="Trebuchet MS" w:eastAsia="Trebuchet MS" w:hAnsi="Trebuchet MS"/>
          <w:sz w:val="20"/>
          <w:szCs w:val="20"/>
          <w:color w:val="auto"/>
        </w:rPr>
      </w:pPr>
      <w:r>
        <w:rPr>
          <w:rFonts w:ascii="Trebuchet MS" w:cs="Trebuchet MS" w:eastAsia="Trebuchet MS" w:hAnsi="Trebuchet MS"/>
          <w:sz w:val="20"/>
          <w:szCs w:val="20"/>
          <w:color w:val="auto"/>
        </w:rPr>
        <w:t>2.2  The procedure for granting Options shall be as follows:</w:t>
      </w:r>
    </w:p>
    <w:p>
      <w:pPr>
        <w:spacing w:after="0" w:line="213" w:lineRule="exact"/>
        <w:rPr>
          <w:sz w:val="20"/>
          <w:szCs w:val="20"/>
          <w:color w:val="auto"/>
        </w:rPr>
      </w:pPr>
    </w:p>
    <w:p>
      <w:pPr>
        <w:ind w:left="1220" w:hanging="475"/>
        <w:spacing w:after="0"/>
        <w:tabs>
          <w:tab w:leader="none" w:pos="1220" w:val="left"/>
        </w:tabs>
        <w:numPr>
          <w:ilvl w:val="0"/>
          <w:numId w:val="183"/>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Board shall by resolution:</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3"/>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select a number of Eligible Employees to whom Options shall be granted and the intended Date of Grant;</w:t>
      </w:r>
    </w:p>
    <w:p>
      <w:pPr>
        <w:spacing w:after="0" w:line="224" w:lineRule="exact"/>
        <w:rPr>
          <w:rFonts w:ascii="Trebuchet MS" w:cs="Trebuchet MS" w:eastAsia="Trebuchet MS" w:hAnsi="Trebuchet MS"/>
          <w:sz w:val="19"/>
          <w:szCs w:val="19"/>
          <w:color w:val="auto"/>
        </w:rPr>
      </w:pPr>
    </w:p>
    <w:p>
      <w:pPr>
        <w:ind w:left="1820" w:hanging="485"/>
        <w:spacing w:after="0"/>
        <w:tabs>
          <w:tab w:leader="none" w:pos="1820" w:val="left"/>
        </w:tabs>
        <w:numPr>
          <w:ilvl w:val="1"/>
          <w:numId w:val="183"/>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determine the maximum number of Shares which each such Eligible Employee shall be</w:t>
      </w:r>
    </w:p>
    <w:p>
      <w:pPr>
        <w:spacing w:after="0" w:line="213" w:lineRule="exact"/>
        <w:rPr>
          <w:sz w:val="20"/>
          <w:szCs w:val="20"/>
          <w:color w:val="auto"/>
        </w:rPr>
      </w:pPr>
    </w:p>
    <w:p>
      <w:pPr>
        <w:jc w:val="center"/>
        <w:ind w:right="-39"/>
        <w:spacing w:after="0"/>
        <w:rPr>
          <w:sz w:val="20"/>
          <w:szCs w:val="20"/>
          <w:color w:val="auto"/>
        </w:rPr>
      </w:pPr>
      <w:r>
        <w:rPr>
          <w:rFonts w:ascii="Trebuchet MS" w:cs="Trebuchet MS" w:eastAsia="Trebuchet MS" w:hAnsi="Trebuchet MS"/>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49" w:name="page250"/>
    <w:bookmarkEnd w:id="249"/>
    <w:p>
      <w:pPr>
        <w:ind w:left="1920"/>
        <w:spacing w:after="0"/>
        <w:rPr>
          <w:sz w:val="20"/>
          <w:szCs w:val="20"/>
          <w:color w:val="auto"/>
        </w:rPr>
      </w:pPr>
      <w:r>
        <w:rPr>
          <w:rFonts w:ascii="Trebuchet MS" w:cs="Trebuchet MS" w:eastAsia="Trebuchet MS" w:hAnsi="Trebuchet MS"/>
          <w:sz w:val="20"/>
          <w:szCs w:val="20"/>
          <w:color w:val="auto"/>
        </w:rPr>
        <w:t>entitled to acquire on the exercise of the Options;</w:t>
      </w:r>
    </w:p>
    <w:p>
      <w:pPr>
        <w:spacing w:after="0" w:line="213" w:lineRule="exact"/>
        <w:rPr>
          <w:sz w:val="20"/>
          <w:szCs w:val="20"/>
          <w:color w:val="auto"/>
        </w:rPr>
      </w:pPr>
    </w:p>
    <w:p>
      <w:pPr>
        <w:ind w:left="1920" w:right="60" w:hanging="585"/>
        <w:spacing w:after="0"/>
        <w:tabs>
          <w:tab w:leader="none" w:pos="1807" w:val="left"/>
        </w:tabs>
        <w:numPr>
          <w:ilvl w:val="1"/>
          <w:numId w:val="18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determine the Option Price, the periods during which Options may be exercised, and any Exercise Conditions to apply to the option to be granted;</w:t>
      </w:r>
    </w:p>
    <w:p>
      <w:pPr>
        <w:spacing w:after="0" w:line="210"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specify which Options shall be EMI Options or Unapproved Options or Incentive Stock Options;</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determine if the Option Holder is to indemnify against secondary NIC Liability under Rule 2.6;</w:t>
      </w:r>
    </w:p>
    <w:p>
      <w:pPr>
        <w:spacing w:after="0" w:line="213"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Board shall send to each selected Eligible Employee the following documents to invite him or her to enter into an Option Agreement:</w:t>
      </w:r>
    </w:p>
    <w:p>
      <w:pPr>
        <w:spacing w:after="0" w:line="210"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Letter of Invitation;</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copy Letter of Invitation (to sign and return);</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an Option Agreement;</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Notice of Grant;</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copy of the Rules;</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any Explanatory Notes (if prepared); and</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Articles of Association of the Company;</w:t>
      </w:r>
    </w:p>
    <w:p>
      <w:pPr>
        <w:spacing w:after="0" w:line="213" w:lineRule="exact"/>
        <w:rPr>
          <w:rFonts w:ascii="Trebuchet MS" w:cs="Trebuchet MS" w:eastAsia="Trebuchet MS" w:hAnsi="Trebuchet MS"/>
          <w:sz w:val="20"/>
          <w:szCs w:val="20"/>
          <w:color w:val="auto"/>
        </w:rPr>
      </w:pPr>
    </w:p>
    <w:p>
      <w:pPr>
        <w:ind w:left="1340" w:hanging="595"/>
        <w:spacing w:after="0" w:line="239" w:lineRule="auto"/>
        <w:tabs>
          <w:tab w:leader="none" w:pos="1227" w:val="left"/>
        </w:tabs>
        <w:numPr>
          <w:ilvl w:val="0"/>
          <w:numId w:val="18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Option Agreement must be duly executed by the Company and the Eligible Employee within 14 days of the date of the Letter of Invitation (or such other date determined by the Board) and the date when the Option Agreement is duly executed shall be the date of the Date of Grant.</w:t>
      </w:r>
    </w:p>
    <w:p>
      <w:pPr>
        <w:spacing w:after="0" w:line="211" w:lineRule="exact"/>
        <w:rPr>
          <w:sz w:val="20"/>
          <w:szCs w:val="20"/>
          <w:color w:val="auto"/>
        </w:rPr>
      </w:pPr>
    </w:p>
    <w:p>
      <w:pPr>
        <w:jc w:val="both"/>
        <w:ind w:left="480" w:right="20" w:hanging="736"/>
        <w:spacing w:after="0"/>
        <w:tabs>
          <w:tab w:leader="none" w:pos="460" w:val="left"/>
        </w:tabs>
        <w:rPr>
          <w:sz w:val="20"/>
          <w:szCs w:val="20"/>
          <w:color w:val="auto"/>
        </w:rPr>
      </w:pPr>
      <w:r>
        <w:rPr>
          <w:rFonts w:ascii="Trebuchet MS" w:cs="Trebuchet MS" w:eastAsia="Trebuchet MS" w:hAnsi="Trebuchet MS"/>
          <w:sz w:val="20"/>
          <w:szCs w:val="20"/>
          <w:color w:val="auto"/>
        </w:rPr>
        <w:t>2.3</w:t>
        <w:tab/>
        <w:t>The Option Agreement shall serve as evidence of the grant of the Option and accordingly no further certificate shall be issued to the Option Holder.</w:t>
      </w:r>
    </w:p>
    <w:p>
      <w:pPr>
        <w:spacing w:after="0" w:line="211" w:lineRule="exact"/>
        <w:rPr>
          <w:sz w:val="20"/>
          <w:szCs w:val="20"/>
          <w:color w:val="auto"/>
        </w:rPr>
      </w:pPr>
    </w:p>
    <w:p>
      <w:pPr>
        <w:jc w:val="both"/>
        <w:ind w:left="480" w:hanging="736"/>
        <w:spacing w:after="0" w:line="239" w:lineRule="auto"/>
        <w:tabs>
          <w:tab w:leader="none" w:pos="460" w:val="left"/>
        </w:tabs>
        <w:rPr>
          <w:sz w:val="20"/>
          <w:szCs w:val="20"/>
          <w:color w:val="auto"/>
        </w:rPr>
      </w:pPr>
      <w:r>
        <w:rPr>
          <w:rFonts w:ascii="Trebuchet MS" w:cs="Trebuchet MS" w:eastAsia="Trebuchet MS" w:hAnsi="Trebuchet MS"/>
          <w:sz w:val="20"/>
          <w:szCs w:val="20"/>
          <w:color w:val="auto"/>
        </w:rPr>
        <w:t>2.4</w:t>
        <w:tab/>
        <w:t>The Option shall state if the Option is being granted as an EMI Option, or to what extent it is being granted as an EMI Option; or alternatively if it is being granted as an Incentive Stock Option, or to what extent it is being granted as an Incentive Stock Option; otherwise in each case it shall be granted as an Unapproved Option.</w:t>
      </w:r>
    </w:p>
    <w:p>
      <w:pPr>
        <w:spacing w:after="0" w:line="211" w:lineRule="exact"/>
        <w:rPr>
          <w:sz w:val="20"/>
          <w:szCs w:val="20"/>
          <w:color w:val="auto"/>
        </w:rPr>
      </w:pPr>
    </w:p>
    <w:p>
      <w:pPr>
        <w:jc w:val="both"/>
        <w:ind w:left="480" w:hanging="736"/>
        <w:spacing w:after="0" w:line="239" w:lineRule="auto"/>
        <w:tabs>
          <w:tab w:leader="none" w:pos="460" w:val="left"/>
        </w:tabs>
        <w:rPr>
          <w:sz w:val="20"/>
          <w:szCs w:val="20"/>
          <w:color w:val="auto"/>
        </w:rPr>
      </w:pPr>
      <w:r>
        <w:rPr>
          <w:rFonts w:ascii="Trebuchet MS" w:cs="Trebuchet MS" w:eastAsia="Trebuchet MS" w:hAnsi="Trebuchet MS"/>
          <w:sz w:val="20"/>
          <w:szCs w:val="20"/>
          <w:color w:val="auto"/>
        </w:rPr>
        <w:t>2.5</w:t>
        <w:tab/>
        <w:t>If an Option Agreement is not duly executed as required under Rule 2.2 within the time limit specified the terms of the Letter of Invitation shall immediately lapse at the end of the period referred to therein and the Option shall not be granted nor be deemed to have been granted to the Eligible Employee.</w:t>
      </w:r>
    </w:p>
    <w:p>
      <w:pPr>
        <w:spacing w:after="0" w:line="211"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2.6</w:t>
      </w:r>
      <w:r>
        <w:rPr>
          <w:sz w:val="20"/>
          <w:szCs w:val="20"/>
          <w:color w:val="auto"/>
        </w:rPr>
        <w:tab/>
      </w:r>
      <w:r>
        <w:rPr>
          <w:rFonts w:ascii="Trebuchet MS" w:cs="Trebuchet MS" w:eastAsia="Trebuchet MS" w:hAnsi="Trebuchet MS"/>
          <w:sz w:val="19"/>
          <w:szCs w:val="19"/>
          <w:color w:val="auto"/>
        </w:rPr>
        <w:t>It shall be a condition of the grant of an Option that the Option Holder:</w:t>
      </w:r>
    </w:p>
    <w:p>
      <w:pPr>
        <w:spacing w:after="0" w:line="213"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0" w:name="page251"/>
    <w:bookmarkEnd w:id="250"/>
    <w:p>
      <w:pPr>
        <w:jc w:val="right"/>
        <w:ind w:left="1340" w:right="60" w:hanging="595"/>
        <w:spacing w:after="0" w:line="268" w:lineRule="auto"/>
        <w:tabs>
          <w:tab w:leader="none" w:pos="1227" w:val="left"/>
        </w:tabs>
        <w:numPr>
          <w:ilvl w:val="1"/>
          <w:numId w:val="186"/>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 xml:space="preserve">indemnifies the Company and any other Group Member to the extent permitted by law against any Tax Liabilities and where the Board so requires Secondary NIC Liability </w:t>
      </w:r>
      <w:r>
        <w:rPr>
          <w:rFonts w:ascii="Trebuchet MS" w:cs="Trebuchet MS" w:eastAsia="Trebuchet MS" w:hAnsi="Trebuchet MS"/>
          <w:sz w:val="19"/>
          <w:szCs w:val="19"/>
          <w:b w:val="1"/>
          <w:bCs w:val="1"/>
          <w:color w:val="auto"/>
        </w:rPr>
        <w:t>(</w:t>
      </w:r>
      <w:r>
        <w:rPr>
          <w:rFonts w:ascii="Trebuchet MS" w:cs="Trebuchet MS" w:eastAsia="Trebuchet MS" w:hAnsi="Trebuchet MS"/>
          <w:sz w:val="19"/>
          <w:szCs w:val="19"/>
          <w:color w:val="auto"/>
        </w:rPr>
        <w:t xml:space="preserve">together referred to as </w:t>
      </w:r>
      <w:r>
        <w:rPr>
          <w:rFonts w:ascii="Trebuchet MS" w:cs="Trebuchet MS" w:eastAsia="Trebuchet MS" w:hAnsi="Trebuchet MS"/>
          <w:sz w:val="19"/>
          <w:szCs w:val="19"/>
          <w:b w:val="1"/>
          <w:bCs w:val="1"/>
          <w:color w:val="auto"/>
        </w:rPr>
        <w:t>“Liabilities”</w:t>
      </w:r>
      <w:r>
        <w:rPr>
          <w:rFonts w:ascii="Trebuchet MS" w:cs="Trebuchet MS" w:eastAsia="Trebuchet MS" w:hAnsi="Trebuchet MS"/>
          <w:sz w:val="19"/>
          <w:szCs w:val="19"/>
          <w:color w:val="auto"/>
        </w:rPr>
        <w:t>); and</w:t>
      </w:r>
    </w:p>
    <w:p>
      <w:pPr>
        <w:spacing w:after="0" w:line="182" w:lineRule="exact"/>
        <w:rPr>
          <w:rFonts w:ascii="Trebuchet MS" w:cs="Trebuchet MS" w:eastAsia="Trebuchet MS" w:hAnsi="Trebuchet MS"/>
          <w:sz w:val="19"/>
          <w:szCs w:val="19"/>
          <w:color w:val="auto"/>
        </w:rPr>
      </w:pPr>
    </w:p>
    <w:p>
      <w:pPr>
        <w:ind w:left="1340" w:right="20" w:hanging="595"/>
        <w:spacing w:after="0"/>
        <w:tabs>
          <w:tab w:leader="none" w:pos="1227" w:val="left"/>
        </w:tabs>
        <w:numPr>
          <w:ilvl w:val="1"/>
          <w:numId w:val="186"/>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enters into a Joint Election should the Board so require at any time prior to and as a condition of the exercise of the Option.</w:t>
      </w:r>
    </w:p>
    <w:p>
      <w:pPr>
        <w:spacing w:after="0" w:line="200" w:lineRule="exact"/>
        <w:rPr>
          <w:rFonts w:ascii="Trebuchet MS" w:cs="Trebuchet MS" w:eastAsia="Trebuchet MS" w:hAnsi="Trebuchet MS"/>
          <w:sz w:val="20"/>
          <w:szCs w:val="20"/>
          <w:color w:val="auto"/>
        </w:rPr>
      </w:pPr>
    </w:p>
    <w:p>
      <w:pPr>
        <w:spacing w:after="0" w:line="200" w:lineRule="exact"/>
        <w:rPr>
          <w:rFonts w:ascii="Trebuchet MS" w:cs="Trebuchet MS" w:eastAsia="Trebuchet MS" w:hAnsi="Trebuchet MS"/>
          <w:sz w:val="20"/>
          <w:szCs w:val="20"/>
          <w:color w:val="auto"/>
        </w:rPr>
      </w:pPr>
    </w:p>
    <w:p>
      <w:pPr>
        <w:spacing w:after="0" w:line="248" w:lineRule="exact"/>
        <w:rPr>
          <w:rFonts w:ascii="Trebuchet MS" w:cs="Trebuchet MS" w:eastAsia="Trebuchet MS" w:hAnsi="Trebuchet MS"/>
          <w:sz w:val="20"/>
          <w:szCs w:val="20"/>
          <w:color w:val="auto"/>
        </w:rPr>
      </w:pPr>
    </w:p>
    <w:p>
      <w:pPr>
        <w:ind w:left="480" w:hanging="472"/>
        <w:spacing w:after="0"/>
        <w:tabs>
          <w:tab w:leader="none" w:pos="480" w:val="left"/>
        </w:tabs>
        <w:numPr>
          <w:ilvl w:val="0"/>
          <w:numId w:val="187"/>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LIMITS AND OTHER RESTRICTIONS OF THE SCHEME RULES</w:t>
      </w:r>
    </w:p>
    <w:p>
      <w:pPr>
        <w:spacing w:after="0" w:line="221" w:lineRule="exact"/>
        <w:rPr>
          <w:sz w:val="20"/>
          <w:szCs w:val="20"/>
          <w:color w:val="auto"/>
        </w:rPr>
      </w:pPr>
    </w:p>
    <w:p>
      <w:pPr>
        <w:jc w:val="both"/>
        <w:ind w:left="480" w:hanging="736"/>
        <w:spacing w:after="0"/>
        <w:tabs>
          <w:tab w:leader="none" w:pos="460" w:val="left"/>
        </w:tabs>
        <w:rPr>
          <w:sz w:val="20"/>
          <w:szCs w:val="20"/>
          <w:color w:val="auto"/>
        </w:rPr>
      </w:pPr>
      <w:r>
        <w:rPr>
          <w:rFonts w:ascii="Trebuchet MS" w:cs="Trebuchet MS" w:eastAsia="Trebuchet MS" w:hAnsi="Trebuchet MS"/>
          <w:sz w:val="20"/>
          <w:szCs w:val="20"/>
          <w:color w:val="auto"/>
        </w:rPr>
        <w:t>3.1</w:t>
        <w:tab/>
        <w:t>An EMI Option granted to an Eligible Employee under these Rules shall be limited and take effect so that the aggregate Market Value at the Date of Grant of Shares which may be acquired on the exercise of that EMI Option when added to:</w:t>
      </w:r>
    </w:p>
    <w:p>
      <w:pPr>
        <w:spacing w:after="0" w:line="200" w:lineRule="exact"/>
        <w:rPr>
          <w:sz w:val="20"/>
          <w:szCs w:val="20"/>
          <w:color w:val="auto"/>
        </w:rPr>
      </w:pPr>
    </w:p>
    <w:p>
      <w:pPr>
        <w:spacing w:after="0" w:line="240" w:lineRule="exact"/>
        <w:rPr>
          <w:sz w:val="20"/>
          <w:szCs w:val="20"/>
          <w:color w:val="auto"/>
        </w:rPr>
      </w:pPr>
    </w:p>
    <w:p>
      <w:pPr>
        <w:ind w:left="1340" w:right="20" w:hanging="595"/>
        <w:spacing w:after="0"/>
        <w:tabs>
          <w:tab w:leader="none" w:pos="1227" w:val="left"/>
        </w:tabs>
        <w:numPr>
          <w:ilvl w:val="0"/>
          <w:numId w:val="188"/>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aggregate Market Value at the Date of Grant of Shares which may be acquired on the exercise of Qualifying Options granted to him pursuant to the Scheme and Any Other EMI Scheme; and</w:t>
      </w:r>
    </w:p>
    <w:p>
      <w:pPr>
        <w:spacing w:after="0" w:line="210"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188"/>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aggregate Market Value at Date of Grant of Shares which may be acquired on the exercise of any Relevant CSOP Option held by such Eligible Employee at the Date of Grant</w:t>
      </w:r>
    </w:p>
    <w:p>
      <w:pPr>
        <w:spacing w:after="0" w:line="211" w:lineRule="exact"/>
        <w:rPr>
          <w:sz w:val="20"/>
          <w:szCs w:val="20"/>
          <w:color w:val="auto"/>
        </w:rPr>
      </w:pPr>
    </w:p>
    <w:p>
      <w:pPr>
        <w:ind w:left="740"/>
        <w:spacing w:after="0"/>
        <w:rPr>
          <w:sz w:val="20"/>
          <w:szCs w:val="20"/>
          <w:color w:val="auto"/>
        </w:rPr>
      </w:pPr>
      <w:r>
        <w:rPr>
          <w:rFonts w:ascii="Trebuchet MS" w:cs="Trebuchet MS" w:eastAsia="Trebuchet MS" w:hAnsi="Trebuchet MS"/>
          <w:sz w:val="20"/>
          <w:szCs w:val="20"/>
          <w:color w:val="auto"/>
        </w:rPr>
        <w:t>shall not exceed £250,000 or such other sum as determined under paragraph 5 of Schedule 5.</w:t>
      </w:r>
    </w:p>
    <w:p>
      <w:pPr>
        <w:spacing w:after="0" w:line="211"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3.2</w:t>
        <w:tab/>
        <w:t>To the extent that the aggregate Market Value of Shares under any EMI Option exceeds such sum as referred to in Rule</w:t>
      </w:r>
    </w:p>
    <w:p>
      <w:pPr>
        <w:ind w:left="740"/>
        <w:spacing w:after="0"/>
        <w:rPr>
          <w:sz w:val="20"/>
          <w:szCs w:val="20"/>
          <w:color w:val="auto"/>
        </w:rPr>
      </w:pPr>
      <w:r>
        <w:rPr>
          <w:rFonts w:ascii="Trebuchet MS" w:cs="Trebuchet MS" w:eastAsia="Trebuchet MS" w:hAnsi="Trebuchet MS"/>
          <w:sz w:val="20"/>
          <w:szCs w:val="20"/>
          <w:color w:val="auto"/>
        </w:rPr>
        <w:t>3.1, any Option granted over Shares representing the excess shall be granted under an Unapproved Option.</w:t>
      </w:r>
    </w:p>
    <w:p>
      <w:pPr>
        <w:spacing w:after="0" w:line="213" w:lineRule="exact"/>
        <w:rPr>
          <w:sz w:val="20"/>
          <w:szCs w:val="20"/>
          <w:color w:val="auto"/>
        </w:rPr>
      </w:pPr>
    </w:p>
    <w:p>
      <w:pPr>
        <w:jc w:val="both"/>
        <w:ind w:left="480" w:hanging="736"/>
        <w:spacing w:after="0"/>
        <w:tabs>
          <w:tab w:leader="none" w:pos="460" w:val="left"/>
        </w:tabs>
        <w:rPr>
          <w:sz w:val="20"/>
          <w:szCs w:val="20"/>
          <w:color w:val="auto"/>
        </w:rPr>
      </w:pPr>
      <w:r>
        <w:rPr>
          <w:rFonts w:ascii="Trebuchet MS" w:cs="Trebuchet MS" w:eastAsia="Trebuchet MS" w:hAnsi="Trebuchet MS"/>
          <w:sz w:val="20"/>
          <w:szCs w:val="20"/>
          <w:color w:val="auto"/>
        </w:rPr>
        <w:t>3.3</w:t>
        <w:tab/>
        <w:t>Pursuant to Rule 3.1 the Market Value of Shares shall be calculated at the time the options in relation to those Shares is granted or such other time as agreed in writing by HMRC.</w:t>
      </w:r>
    </w:p>
    <w:p>
      <w:pPr>
        <w:spacing w:after="0" w:line="211"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3.4</w:t>
        <w:tab/>
        <w:t>If an Eligible Employee has previously been granted Qualifying Options under the Scheme or Any Other EMI Scheme over Shares with an aggregate Market Value of £250,000 as referred to in Rule 3.1 above (including EMI Options which have since been exercised or released) then any Option which shall be granted to such Eligible Employee within three years of the Date of Grant of the last such Qualifying Option shall be an Unapproved Option.</w:t>
      </w:r>
    </w:p>
    <w:p>
      <w:pPr>
        <w:spacing w:after="0" w:line="213" w:lineRule="exact"/>
        <w:rPr>
          <w:sz w:val="20"/>
          <w:szCs w:val="20"/>
          <w:color w:val="auto"/>
        </w:rPr>
      </w:pPr>
    </w:p>
    <w:p>
      <w:pPr>
        <w:jc w:val="both"/>
        <w:ind w:left="480" w:right="20" w:hanging="736"/>
        <w:spacing w:after="0"/>
        <w:tabs>
          <w:tab w:leader="none" w:pos="460" w:val="left"/>
        </w:tabs>
        <w:rPr>
          <w:sz w:val="20"/>
          <w:szCs w:val="20"/>
          <w:color w:val="auto"/>
        </w:rPr>
      </w:pPr>
      <w:r>
        <w:rPr>
          <w:rFonts w:ascii="Trebuchet MS" w:cs="Trebuchet MS" w:eastAsia="Trebuchet MS" w:hAnsi="Trebuchet MS"/>
          <w:sz w:val="20"/>
          <w:szCs w:val="20"/>
          <w:color w:val="auto"/>
        </w:rPr>
        <w:t>3.5</w:t>
        <w:tab/>
        <w:t>No Option shall be granted at a date more than ten years after the Adoption Date without further authorisation by the Company in general meeting.</w:t>
      </w:r>
    </w:p>
    <w:p>
      <w:pPr>
        <w:spacing w:after="0" w:line="211" w:lineRule="exact"/>
        <w:rPr>
          <w:sz w:val="20"/>
          <w:szCs w:val="20"/>
          <w:color w:val="auto"/>
        </w:rPr>
      </w:pPr>
    </w:p>
    <w:p>
      <w:pPr>
        <w:jc w:val="both"/>
        <w:ind w:left="480" w:hanging="736"/>
        <w:spacing w:after="0" w:line="239" w:lineRule="auto"/>
        <w:tabs>
          <w:tab w:leader="none" w:pos="460" w:val="left"/>
        </w:tabs>
        <w:rPr>
          <w:sz w:val="20"/>
          <w:szCs w:val="20"/>
          <w:color w:val="auto"/>
        </w:rPr>
      </w:pPr>
      <w:r>
        <w:rPr>
          <w:rFonts w:ascii="Trebuchet MS" w:cs="Trebuchet MS" w:eastAsia="Trebuchet MS" w:hAnsi="Trebuchet MS"/>
          <w:sz w:val="20"/>
          <w:szCs w:val="20"/>
          <w:color w:val="auto"/>
        </w:rPr>
        <w:t>3.6</w:t>
        <w:tab/>
        <w:t>Notwithstanding any other provisions of these Rules the Company may not issue Qualifying Options under the Scheme or any Other EMI Scheme such that the Market Value at the date of grant of Shares subject to such Qualifying Options exceeds £3 million or such other sum as determined under paragraph 7 of Schedule 5.</w:t>
      </w:r>
    </w:p>
    <w:p>
      <w:pPr>
        <w:spacing w:after="0" w:line="203" w:lineRule="exact"/>
        <w:rPr>
          <w:sz w:val="20"/>
          <w:szCs w:val="20"/>
          <w:color w:val="auto"/>
        </w:rPr>
      </w:pPr>
    </w:p>
    <w:p>
      <w:pPr>
        <w:ind w:left="480" w:hanging="472"/>
        <w:spacing w:after="0"/>
        <w:tabs>
          <w:tab w:leader="none" w:pos="480" w:val="left"/>
        </w:tabs>
        <w:numPr>
          <w:ilvl w:val="0"/>
          <w:numId w:val="189"/>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NON-ASSIGNABILITY OF OPTIONS</w:t>
      </w:r>
    </w:p>
    <w:p>
      <w:pPr>
        <w:spacing w:after="0" w:line="221"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1" w:name="page252"/>
    <w:bookmarkEnd w:id="251"/>
    <w:p>
      <w:pPr>
        <w:jc w:val="both"/>
        <w:ind w:left="740"/>
        <w:spacing w:after="0" w:line="239" w:lineRule="auto"/>
        <w:rPr>
          <w:sz w:val="20"/>
          <w:szCs w:val="20"/>
          <w:color w:val="auto"/>
        </w:rPr>
      </w:pPr>
      <w:r>
        <w:rPr>
          <w:rFonts w:ascii="Trebuchet MS" w:cs="Trebuchet MS" w:eastAsia="Trebuchet MS" w:hAnsi="Trebuchet MS"/>
          <w:sz w:val="20"/>
          <w:szCs w:val="20"/>
          <w:color w:val="auto"/>
        </w:rPr>
        <w:t>Except as otherwise specifically provided in these Rules, each Option shall be exercisable only by the Option Holder to whom it is granted and may not be transferred, assigned or charged, and on any purported transfer, assignment or charge the Option shall automatically lapse.</w:t>
      </w:r>
    </w:p>
    <w:p>
      <w:pPr>
        <w:spacing w:after="0" w:line="203" w:lineRule="exact"/>
        <w:rPr>
          <w:sz w:val="20"/>
          <w:szCs w:val="20"/>
          <w:color w:val="auto"/>
        </w:rPr>
      </w:pPr>
    </w:p>
    <w:p>
      <w:pPr>
        <w:ind w:left="480" w:hanging="472"/>
        <w:spacing w:after="0"/>
        <w:tabs>
          <w:tab w:leader="none" w:pos="480" w:val="left"/>
        </w:tabs>
        <w:numPr>
          <w:ilvl w:val="0"/>
          <w:numId w:val="190"/>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EXERCISE CONDITIONS</w:t>
      </w:r>
    </w:p>
    <w:p>
      <w:pPr>
        <w:spacing w:after="0" w:line="221"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5.1</w:t>
      </w:r>
      <w:r>
        <w:rPr>
          <w:sz w:val="20"/>
          <w:szCs w:val="20"/>
          <w:color w:val="auto"/>
        </w:rPr>
        <w:tab/>
      </w:r>
      <w:r>
        <w:rPr>
          <w:rFonts w:ascii="Trebuchet MS" w:cs="Trebuchet MS" w:eastAsia="Trebuchet MS" w:hAnsi="Trebuchet MS"/>
          <w:sz w:val="19"/>
          <w:szCs w:val="19"/>
          <w:color w:val="auto"/>
        </w:rPr>
        <w:t>Exercise Conditions (if any) shall be:</w:t>
      </w:r>
    </w:p>
    <w:p>
      <w:pPr>
        <w:spacing w:after="0" w:line="213" w:lineRule="exact"/>
        <w:rPr>
          <w:sz w:val="20"/>
          <w:szCs w:val="20"/>
          <w:color w:val="auto"/>
        </w:rPr>
      </w:pPr>
    </w:p>
    <w:p>
      <w:pPr>
        <w:ind w:left="1340" w:hanging="595"/>
        <w:spacing w:after="0"/>
        <w:tabs>
          <w:tab w:leader="none" w:pos="1227" w:val="left"/>
        </w:tabs>
        <w:numPr>
          <w:ilvl w:val="0"/>
          <w:numId w:val="191"/>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in respect of dates or events or profits or individual or collective performance criteria for a period which begins no earlier than the start of the accounting period in which the Date of Grant falls; and</w:t>
      </w:r>
    </w:p>
    <w:p>
      <w:pPr>
        <w:spacing w:after="0" w:line="210"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191"/>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capable of independent objective assessment with a view to determining whether they have been satisfied; and</w:t>
      </w:r>
    </w:p>
    <w:p>
      <w:pPr>
        <w:spacing w:after="0" w:line="224" w:lineRule="exact"/>
        <w:rPr>
          <w:rFonts w:ascii="Trebuchet MS" w:cs="Trebuchet MS" w:eastAsia="Trebuchet MS" w:hAnsi="Trebuchet MS"/>
          <w:sz w:val="19"/>
          <w:szCs w:val="19"/>
          <w:color w:val="auto"/>
        </w:rPr>
      </w:pPr>
    </w:p>
    <w:p>
      <w:pPr>
        <w:ind w:left="1220" w:hanging="475"/>
        <w:spacing w:after="0"/>
        <w:tabs>
          <w:tab w:leader="none" w:pos="1220" w:val="left"/>
        </w:tabs>
        <w:numPr>
          <w:ilvl w:val="0"/>
          <w:numId w:val="191"/>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set out in detail at the Date of Grant in the Option Agreement.</w:t>
      </w:r>
    </w:p>
    <w:p>
      <w:pPr>
        <w:spacing w:after="0" w:line="213" w:lineRule="exact"/>
        <w:rPr>
          <w:sz w:val="20"/>
          <w:szCs w:val="20"/>
          <w:color w:val="auto"/>
        </w:rPr>
      </w:pPr>
    </w:p>
    <w:p>
      <w:pPr>
        <w:ind w:left="480" w:right="40" w:hanging="736"/>
        <w:spacing w:after="0"/>
        <w:tabs>
          <w:tab w:leader="none" w:pos="460" w:val="left"/>
        </w:tabs>
        <w:rPr>
          <w:sz w:val="20"/>
          <w:szCs w:val="20"/>
          <w:color w:val="auto"/>
        </w:rPr>
      </w:pPr>
      <w:r>
        <w:rPr>
          <w:rFonts w:ascii="Trebuchet MS" w:cs="Trebuchet MS" w:eastAsia="Trebuchet MS" w:hAnsi="Trebuchet MS"/>
          <w:sz w:val="20"/>
          <w:szCs w:val="20"/>
          <w:color w:val="auto"/>
        </w:rPr>
        <w:t>5.2</w:t>
        <w:tab/>
        <w:t>Different Exercise Conditions may be specified in respect of different numbers of the Shares comprised in the same Option.</w:t>
      </w:r>
    </w:p>
    <w:p>
      <w:pPr>
        <w:spacing w:after="0" w:line="211" w:lineRule="exact"/>
        <w:rPr>
          <w:sz w:val="20"/>
          <w:szCs w:val="20"/>
          <w:color w:val="auto"/>
        </w:rPr>
      </w:pPr>
    </w:p>
    <w:p>
      <w:pPr>
        <w:jc w:val="both"/>
        <w:ind w:left="480" w:hanging="736"/>
        <w:spacing w:after="0"/>
        <w:tabs>
          <w:tab w:leader="none" w:pos="460" w:val="left"/>
        </w:tabs>
        <w:rPr>
          <w:sz w:val="20"/>
          <w:szCs w:val="20"/>
          <w:color w:val="auto"/>
        </w:rPr>
      </w:pPr>
      <w:r>
        <w:rPr>
          <w:rFonts w:ascii="Trebuchet MS" w:cs="Trebuchet MS" w:eastAsia="Trebuchet MS" w:hAnsi="Trebuchet MS"/>
          <w:sz w:val="20"/>
          <w:szCs w:val="20"/>
          <w:color w:val="auto"/>
        </w:rPr>
        <w:t>5.3</w:t>
        <w:tab/>
        <w:t>Subject to the provisions of these Rules where an Option has been granted subject to Exercise Conditions, the Board shall as soon as reasonably practicable following the satisfaction of any Exercise Conditions give written notice to inform the Option Holder concerned that his Option has become exercisable subject always to the provisions of Rule 6.</w:t>
      </w:r>
    </w:p>
    <w:p>
      <w:pPr>
        <w:spacing w:after="0" w:line="200" w:lineRule="exact"/>
        <w:rPr>
          <w:sz w:val="20"/>
          <w:szCs w:val="20"/>
          <w:color w:val="auto"/>
        </w:rPr>
      </w:pPr>
    </w:p>
    <w:p>
      <w:pPr>
        <w:spacing w:after="0" w:line="235"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5.4</w:t>
        <w:tab/>
        <w:t>Where events happen which cause the Board to consider that the Exercise Conditions are no longer appropriate, or the</w:t>
      </w:r>
    </w:p>
    <w:p>
      <w:pPr>
        <w:ind w:left="740"/>
        <w:spacing w:after="0"/>
        <w:rPr>
          <w:sz w:val="20"/>
          <w:szCs w:val="20"/>
          <w:color w:val="auto"/>
        </w:rPr>
      </w:pPr>
      <w:r>
        <w:rPr>
          <w:rFonts w:ascii="Trebuchet MS" w:cs="Trebuchet MS" w:eastAsia="Trebuchet MS" w:hAnsi="Trebuchet MS"/>
          <w:sz w:val="20"/>
          <w:szCs w:val="20"/>
          <w:color w:val="auto"/>
        </w:rPr>
        <w:t>Board at its entire discretion so decides, it may:</w:t>
      </w:r>
    </w:p>
    <w:p>
      <w:pPr>
        <w:spacing w:after="0" w:line="213" w:lineRule="exact"/>
        <w:rPr>
          <w:sz w:val="20"/>
          <w:szCs w:val="20"/>
          <w:color w:val="auto"/>
        </w:rPr>
      </w:pPr>
    </w:p>
    <w:p>
      <w:pPr>
        <w:ind w:left="1340" w:hanging="595"/>
        <w:spacing w:after="0"/>
        <w:tabs>
          <w:tab w:leader="none" w:pos="1227" w:val="left"/>
        </w:tabs>
        <w:numPr>
          <w:ilvl w:val="0"/>
          <w:numId w:val="19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vary the Exercise Conditions provided that the new Exercise Conditions are not more difficult to satisfy than the original Performance Conditions; or</w:t>
      </w:r>
    </w:p>
    <w:p>
      <w:pPr>
        <w:spacing w:after="0" w:line="210"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19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remove the Exercise Conditions as a requirement of the exercise of the Option;</w:t>
      </w:r>
    </w:p>
    <w:p>
      <w:pPr>
        <w:spacing w:after="0" w:line="213" w:lineRule="exact"/>
        <w:rPr>
          <w:sz w:val="20"/>
          <w:szCs w:val="20"/>
          <w:color w:val="auto"/>
        </w:rPr>
      </w:pPr>
    </w:p>
    <w:p>
      <w:pPr>
        <w:jc w:val="center"/>
        <w:ind w:right="20"/>
        <w:spacing w:after="0"/>
        <w:rPr>
          <w:sz w:val="20"/>
          <w:szCs w:val="20"/>
          <w:color w:val="auto"/>
        </w:rPr>
      </w:pPr>
      <w:r>
        <w:rPr>
          <w:rFonts w:ascii="Trebuchet MS" w:cs="Trebuchet MS" w:eastAsia="Trebuchet MS" w:hAnsi="Trebuchet MS"/>
          <w:sz w:val="20"/>
          <w:szCs w:val="20"/>
          <w:color w:val="auto"/>
        </w:rPr>
        <w:t>PROVIDED that the Option Holder is given notice in writing of the variation or removal as soon as practicable.</w:t>
      </w:r>
    </w:p>
    <w:p>
      <w:pPr>
        <w:spacing w:after="0" w:line="205" w:lineRule="exact"/>
        <w:rPr>
          <w:sz w:val="20"/>
          <w:szCs w:val="20"/>
          <w:color w:val="auto"/>
        </w:rPr>
      </w:pPr>
    </w:p>
    <w:p>
      <w:pPr>
        <w:ind w:left="480" w:hanging="472"/>
        <w:spacing w:after="0"/>
        <w:tabs>
          <w:tab w:leader="none" w:pos="480" w:val="left"/>
        </w:tabs>
        <w:numPr>
          <w:ilvl w:val="0"/>
          <w:numId w:val="193"/>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EXERCISE OF OPTION</w:t>
      </w:r>
    </w:p>
    <w:p>
      <w:pPr>
        <w:spacing w:after="0" w:line="213"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b w:val="1"/>
          <w:bCs w:val="1"/>
          <w:color w:val="auto"/>
        </w:rPr>
        <w:t>6.1</w:t>
      </w:r>
      <w:r>
        <w:rPr>
          <w:sz w:val="20"/>
          <w:szCs w:val="20"/>
          <w:color w:val="auto"/>
        </w:rPr>
        <w:tab/>
      </w:r>
      <w:r>
        <w:rPr>
          <w:rFonts w:ascii="Trebuchet MS" w:cs="Trebuchet MS" w:eastAsia="Trebuchet MS" w:hAnsi="Trebuchet MS"/>
          <w:sz w:val="19"/>
          <w:szCs w:val="19"/>
          <w:b w:val="1"/>
          <w:bCs w:val="1"/>
          <w:color w:val="auto"/>
        </w:rPr>
        <w:t>An Option shall be exercised:-</w:t>
      </w:r>
    </w:p>
    <w:p>
      <w:pPr>
        <w:spacing w:after="0" w:line="221" w:lineRule="exact"/>
        <w:rPr>
          <w:sz w:val="20"/>
          <w:szCs w:val="20"/>
          <w:color w:val="auto"/>
        </w:rPr>
      </w:pPr>
    </w:p>
    <w:p>
      <w:pPr>
        <w:ind w:left="1220" w:hanging="475"/>
        <w:spacing w:after="0"/>
        <w:tabs>
          <w:tab w:leader="none" w:pos="1220" w:val="left"/>
        </w:tabs>
        <w:numPr>
          <w:ilvl w:val="0"/>
          <w:numId w:val="19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pursuant to the terms of exercise set out in the Option Agreement; and</w:t>
      </w:r>
    </w:p>
    <w:p>
      <w:pPr>
        <w:spacing w:after="0" w:line="213" w:lineRule="exact"/>
        <w:rPr>
          <w:rFonts w:ascii="Trebuchet MS" w:cs="Trebuchet MS" w:eastAsia="Trebuchet MS" w:hAnsi="Trebuchet MS"/>
          <w:sz w:val="20"/>
          <w:szCs w:val="20"/>
          <w:color w:val="auto"/>
        </w:rPr>
      </w:pPr>
    </w:p>
    <w:p>
      <w:pPr>
        <w:ind w:left="1340" w:right="20" w:hanging="595"/>
        <w:spacing w:after="0" w:line="239" w:lineRule="auto"/>
        <w:tabs>
          <w:tab w:leader="none" w:pos="1227" w:val="left"/>
        </w:tabs>
        <w:numPr>
          <w:ilvl w:val="0"/>
          <w:numId w:val="19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by lodging with the Company Secretary or such other person as the Board may specify, the relevant Option Agreement, a duly completed Notice of Exercise and (subject to Rule 8.6) the payment required in respect of the Option Price and any Tax Liabilities and secondary NIC liability.</w:t>
      </w:r>
    </w:p>
    <w:p>
      <w:pPr>
        <w:spacing w:after="0" w:line="21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2" w:name="page253"/>
    <w:bookmarkEnd w:id="252"/>
    <w:p>
      <w:pPr>
        <w:spacing w:after="0"/>
        <w:tabs>
          <w:tab w:leader="none" w:pos="460" w:val="left"/>
        </w:tabs>
        <w:rPr>
          <w:sz w:val="20"/>
          <w:szCs w:val="20"/>
          <w:color w:val="auto"/>
        </w:rPr>
      </w:pPr>
      <w:r>
        <w:rPr>
          <w:rFonts w:ascii="Trebuchet MS" w:cs="Trebuchet MS" w:eastAsia="Trebuchet MS" w:hAnsi="Trebuchet MS"/>
          <w:sz w:val="20"/>
          <w:szCs w:val="20"/>
          <w:b w:val="1"/>
          <w:bCs w:val="1"/>
          <w:color w:val="auto"/>
        </w:rPr>
        <w:t>6.2</w:t>
      </w:r>
      <w:r>
        <w:rPr>
          <w:sz w:val="20"/>
          <w:szCs w:val="20"/>
          <w:color w:val="auto"/>
        </w:rPr>
        <w:tab/>
      </w:r>
      <w:r>
        <w:rPr>
          <w:rFonts w:ascii="Trebuchet MS" w:cs="Trebuchet MS" w:eastAsia="Trebuchet MS" w:hAnsi="Trebuchet MS"/>
          <w:sz w:val="19"/>
          <w:szCs w:val="19"/>
          <w:b w:val="1"/>
          <w:bCs w:val="1"/>
          <w:color w:val="auto"/>
        </w:rPr>
        <w:t>Lapse of Options</w:t>
      </w:r>
    </w:p>
    <w:p>
      <w:pPr>
        <w:spacing w:after="0" w:line="221" w:lineRule="exact"/>
        <w:rPr>
          <w:sz w:val="20"/>
          <w:szCs w:val="20"/>
          <w:color w:val="auto"/>
        </w:rPr>
      </w:pPr>
    </w:p>
    <w:p>
      <w:pPr>
        <w:ind w:left="740"/>
        <w:spacing w:after="0"/>
        <w:rPr>
          <w:sz w:val="20"/>
          <w:szCs w:val="20"/>
          <w:color w:val="auto"/>
        </w:rPr>
      </w:pPr>
      <w:r>
        <w:rPr>
          <w:rFonts w:ascii="Trebuchet MS" w:cs="Trebuchet MS" w:eastAsia="Trebuchet MS" w:hAnsi="Trebuchet MS"/>
          <w:sz w:val="20"/>
          <w:szCs w:val="20"/>
          <w:color w:val="auto"/>
        </w:rPr>
        <w:t>An Option shall cease to be exercisable and shall lapse forthwith on the occurrence of the following events:-</w:t>
      </w:r>
    </w:p>
    <w:p>
      <w:pPr>
        <w:spacing w:after="0" w:line="213" w:lineRule="exact"/>
        <w:rPr>
          <w:sz w:val="20"/>
          <w:szCs w:val="20"/>
          <w:color w:val="auto"/>
        </w:rPr>
      </w:pPr>
    </w:p>
    <w:p>
      <w:pPr>
        <w:ind w:left="1220" w:hanging="475"/>
        <w:spacing w:after="0"/>
        <w:tabs>
          <w:tab w:leader="none" w:pos="1220" w:val="left"/>
        </w:tabs>
        <w:numPr>
          <w:ilvl w:val="0"/>
          <w:numId w:val="19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5pm on the day before the tenth anniversary of the grant of the Option;</w:t>
      </w:r>
    </w:p>
    <w:p>
      <w:pPr>
        <w:spacing w:after="0" w:line="213"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19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Option Holder ceases to be an employee of the Company or of a Qualifying Subsidiary save as provided for in Rule 7;</w:t>
      </w:r>
    </w:p>
    <w:p>
      <w:pPr>
        <w:spacing w:after="0" w:line="210" w:lineRule="exact"/>
        <w:rPr>
          <w:rFonts w:ascii="Trebuchet MS" w:cs="Trebuchet MS" w:eastAsia="Trebuchet MS" w:hAnsi="Trebuchet MS"/>
          <w:sz w:val="20"/>
          <w:szCs w:val="20"/>
          <w:color w:val="auto"/>
        </w:rPr>
      </w:pPr>
    </w:p>
    <w:p>
      <w:pPr>
        <w:ind w:left="1340" w:right="60" w:hanging="595"/>
        <w:spacing w:after="0"/>
        <w:tabs>
          <w:tab w:leader="none" w:pos="1227" w:val="left"/>
        </w:tabs>
        <w:numPr>
          <w:ilvl w:val="0"/>
          <w:numId w:val="19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Option Holder does or suffers any act or thing (including bankruptcy) whereby he would or might be deprived of the legal or beneficial ownership of the Option;</w:t>
      </w:r>
    </w:p>
    <w:p>
      <w:pPr>
        <w:spacing w:after="0" w:line="210"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19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lapsing events referred to in Rules 4, 7, 8 and 9.</w:t>
      </w:r>
    </w:p>
    <w:p>
      <w:pPr>
        <w:spacing w:after="0" w:line="205"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b w:val="1"/>
          <w:bCs w:val="1"/>
          <w:color w:val="auto"/>
        </w:rPr>
        <w:t>6.3</w:t>
      </w:r>
      <w:r>
        <w:rPr>
          <w:sz w:val="20"/>
          <w:szCs w:val="20"/>
          <w:color w:val="auto"/>
        </w:rPr>
        <w:tab/>
      </w:r>
      <w:r>
        <w:rPr>
          <w:rFonts w:ascii="Trebuchet MS" w:cs="Trebuchet MS" w:eastAsia="Trebuchet MS" w:hAnsi="Trebuchet MS"/>
          <w:sz w:val="19"/>
          <w:szCs w:val="19"/>
          <w:b w:val="1"/>
          <w:bCs w:val="1"/>
          <w:color w:val="auto"/>
        </w:rPr>
        <w:t>Result of Exercise of Options</w:t>
      </w:r>
    </w:p>
    <w:p>
      <w:pPr>
        <w:spacing w:after="0" w:line="221" w:lineRule="exact"/>
        <w:rPr>
          <w:sz w:val="20"/>
          <w:szCs w:val="20"/>
          <w:color w:val="auto"/>
        </w:rPr>
      </w:pPr>
    </w:p>
    <w:p>
      <w:pPr>
        <w:ind w:left="1220" w:hanging="475"/>
        <w:spacing w:after="0"/>
        <w:tabs>
          <w:tab w:leader="none" w:pos="1220" w:val="left"/>
        </w:tabs>
        <w:numPr>
          <w:ilvl w:val="0"/>
          <w:numId w:val="196"/>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Subject to:</w:t>
      </w:r>
    </w:p>
    <w:p>
      <w:pPr>
        <w:spacing w:after="0" w:line="213" w:lineRule="exact"/>
        <w:rPr>
          <w:rFonts w:ascii="Trebuchet MS" w:cs="Trebuchet MS" w:eastAsia="Trebuchet MS" w:hAnsi="Trebuchet MS"/>
          <w:sz w:val="20"/>
          <w:szCs w:val="20"/>
          <w:color w:val="auto"/>
        </w:rPr>
      </w:pPr>
    </w:p>
    <w:p>
      <w:pPr>
        <w:ind w:left="1920" w:right="60" w:hanging="585"/>
        <w:spacing w:after="0"/>
        <w:tabs>
          <w:tab w:leader="none" w:pos="1807" w:val="left"/>
        </w:tabs>
        <w:numPr>
          <w:ilvl w:val="1"/>
          <w:numId w:val="196"/>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obtaining of any necessary consent from H.M. Treasury, the Bank of England, the UK Listing Authority, the London Stock Exchange Plc or other relevant authority;</w:t>
      </w:r>
    </w:p>
    <w:p>
      <w:pPr>
        <w:spacing w:after="0" w:line="210"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96"/>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terms of any such consent;</w:t>
      </w:r>
    </w:p>
    <w:p>
      <w:pPr>
        <w:spacing w:after="0" w:line="213"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196"/>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receipt by the Company of the appropriate payment for Shares to be acquired on exercise in full</w:t>
      </w:r>
    </w:p>
    <w:p>
      <w:pPr>
        <w:spacing w:after="0" w:line="213" w:lineRule="exact"/>
        <w:rPr>
          <w:sz w:val="20"/>
          <w:szCs w:val="20"/>
          <w:color w:val="auto"/>
        </w:rPr>
      </w:pPr>
    </w:p>
    <w:p>
      <w:pPr>
        <w:jc w:val="both"/>
        <w:ind w:left="1480"/>
        <w:spacing w:after="0" w:line="238" w:lineRule="auto"/>
        <w:rPr>
          <w:sz w:val="20"/>
          <w:szCs w:val="20"/>
          <w:color w:val="auto"/>
        </w:rPr>
      </w:pPr>
      <w:r>
        <w:rPr>
          <w:rFonts w:ascii="Trebuchet MS" w:cs="Trebuchet MS" w:eastAsia="Trebuchet MS" w:hAnsi="Trebuchet MS"/>
          <w:sz w:val="20"/>
          <w:szCs w:val="20"/>
          <w:color w:val="auto"/>
        </w:rPr>
        <w:t>the Company shall (subject to Rule 8.7) within 30 days of receipt by the Company Secretary of a valid Notice of Exercise issue to or arrange the transfer to the Option Holder the number of Shares in respect of which the Option has been exercised (but if during a Close Period such issue or transfer shall be effected as soon as reasonably practicable after the end of the Close Period).</w:t>
      </w:r>
    </w:p>
    <w:p>
      <w:pPr>
        <w:spacing w:after="0" w:line="213" w:lineRule="exact"/>
        <w:rPr>
          <w:sz w:val="20"/>
          <w:szCs w:val="20"/>
          <w:color w:val="auto"/>
        </w:rPr>
      </w:pPr>
    </w:p>
    <w:p>
      <w:pPr>
        <w:ind w:left="1340" w:hanging="595"/>
        <w:spacing w:after="0" w:line="238" w:lineRule="auto"/>
        <w:tabs>
          <w:tab w:leader="none" w:pos="1227" w:val="left"/>
        </w:tabs>
        <w:numPr>
          <w:ilvl w:val="0"/>
          <w:numId w:val="197"/>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Board shall at all times keep available sufficient unissued Shares or shall procure that there are available sufficient Shares to satisfy the exercise of all Options granted under the Scheme. For this purpose the Board may enter into an agreement with any individual, company or the trustees of any employee benefit trust for the provision by such persons of Shares to satisfy Options. In such case, and if appropriate, the Option Price payable by the Option Holder shall be received by a member of the Board as trustee for such persons (to whom it shall account) and the Board shall procure the transfer of Shares by such persons upon exercise of the Option.</w:t>
      </w:r>
    </w:p>
    <w:p>
      <w:pPr>
        <w:spacing w:after="0" w:line="210" w:lineRule="exact"/>
        <w:rPr>
          <w:rFonts w:ascii="Trebuchet MS" w:cs="Trebuchet MS" w:eastAsia="Trebuchet MS" w:hAnsi="Trebuchet MS"/>
          <w:sz w:val="20"/>
          <w:szCs w:val="20"/>
          <w:color w:val="auto"/>
        </w:rPr>
      </w:pPr>
    </w:p>
    <w:p>
      <w:pPr>
        <w:ind w:left="1340" w:hanging="595"/>
        <w:spacing w:after="0" w:line="238" w:lineRule="auto"/>
        <w:tabs>
          <w:tab w:leader="none" w:pos="1227" w:val="left"/>
        </w:tabs>
        <w:numPr>
          <w:ilvl w:val="0"/>
          <w:numId w:val="197"/>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All Shares issued on exercise of Options shall on issue rank equally in all respects with the Company’s existing Shares of the same class, save that the Shares issued under the Scheme will not rank for any dividends or other distributions declared or recommended the record date for which falls on or prior to the date when the Option is exercised.</w:t>
      </w: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3" w:name="page254"/>
    <w:bookmarkEnd w:id="253"/>
    <w:p>
      <w:pPr>
        <w:spacing w:after="0"/>
        <w:tabs>
          <w:tab w:leader="none" w:pos="460" w:val="left"/>
        </w:tabs>
        <w:rPr>
          <w:sz w:val="20"/>
          <w:szCs w:val="20"/>
          <w:color w:val="auto"/>
        </w:rPr>
      </w:pPr>
      <w:r>
        <w:rPr>
          <w:rFonts w:ascii="Trebuchet MS" w:cs="Trebuchet MS" w:eastAsia="Trebuchet MS" w:hAnsi="Trebuchet MS"/>
          <w:sz w:val="20"/>
          <w:szCs w:val="20"/>
          <w:b w:val="1"/>
          <w:bCs w:val="1"/>
          <w:color w:val="auto"/>
        </w:rPr>
        <w:t>6.4</w:t>
      </w:r>
      <w:r>
        <w:rPr>
          <w:sz w:val="20"/>
          <w:szCs w:val="20"/>
          <w:color w:val="auto"/>
        </w:rPr>
        <w:tab/>
      </w:r>
      <w:r>
        <w:rPr>
          <w:rFonts w:ascii="Trebuchet MS" w:cs="Trebuchet MS" w:eastAsia="Trebuchet MS" w:hAnsi="Trebuchet MS"/>
          <w:sz w:val="19"/>
          <w:szCs w:val="19"/>
          <w:b w:val="1"/>
          <w:bCs w:val="1"/>
          <w:color w:val="auto"/>
        </w:rPr>
        <w:t>Tax Liability</w:t>
      </w:r>
    </w:p>
    <w:p>
      <w:pPr>
        <w:spacing w:after="0" w:line="221" w:lineRule="exact"/>
        <w:rPr>
          <w:sz w:val="20"/>
          <w:szCs w:val="20"/>
          <w:color w:val="auto"/>
        </w:rPr>
      </w:pPr>
    </w:p>
    <w:p>
      <w:pPr>
        <w:ind w:left="1340" w:hanging="595"/>
        <w:spacing w:after="0" w:line="238" w:lineRule="auto"/>
        <w:tabs>
          <w:tab w:leader="none" w:pos="1227" w:val="left"/>
        </w:tabs>
        <w:numPr>
          <w:ilvl w:val="1"/>
          <w:numId w:val="198"/>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It being a condition of the grant of an Option that each Option Holder indemnifies the Company and any other Group Member against Tax Liabilities and/or secondary NIC Liabilities (“Liabilities”) pursuant to Rule 2.6(a), to the extent that the Liabilities cannot be (or are not) deducted from payments made by the Company or Group Member to the Option Holder, the Company shall be authorised by the Option Holder:-</w:t>
      </w:r>
    </w:p>
    <w:p>
      <w:pPr>
        <w:spacing w:after="0" w:line="212" w:lineRule="exact"/>
        <w:rPr>
          <w:rFonts w:ascii="Trebuchet MS" w:cs="Trebuchet MS" w:eastAsia="Trebuchet MS" w:hAnsi="Trebuchet MS"/>
          <w:sz w:val="20"/>
          <w:szCs w:val="20"/>
          <w:color w:val="auto"/>
        </w:rPr>
      </w:pPr>
    </w:p>
    <w:p>
      <w:pPr>
        <w:ind w:left="1920" w:right="20" w:hanging="585"/>
        <w:spacing w:after="0" w:line="239" w:lineRule="auto"/>
        <w:tabs>
          <w:tab w:leader="none" w:pos="1807" w:val="left"/>
        </w:tabs>
        <w:numPr>
          <w:ilvl w:val="2"/>
          <w:numId w:val="198"/>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to retain and sell on the Option Holder’s behalf sufficient Shares issued or acquired on exercise of the Option to raise the necessary funds to meet and to apply such funds in discharging the Liabilities or reimbursing the Company or the relevant Group Member; and/or</w:t>
      </w:r>
    </w:p>
    <w:p>
      <w:pPr>
        <w:spacing w:after="0" w:line="210" w:lineRule="exact"/>
        <w:rPr>
          <w:rFonts w:ascii="Trebuchet MS" w:cs="Trebuchet MS" w:eastAsia="Trebuchet MS" w:hAnsi="Trebuchet MS"/>
          <w:sz w:val="20"/>
          <w:szCs w:val="20"/>
          <w:color w:val="auto"/>
        </w:rPr>
      </w:pPr>
    </w:p>
    <w:p>
      <w:pPr>
        <w:ind w:left="1920" w:hanging="585"/>
        <w:spacing w:after="0"/>
        <w:tabs>
          <w:tab w:leader="none" w:pos="1807" w:val="left"/>
        </w:tabs>
        <w:numPr>
          <w:ilvl w:val="2"/>
          <w:numId w:val="198"/>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to make such other arrangements with the Option Holder in question as the Board deems appropriate for the reimbursement to the Company or relevant Group Member of the Liabilities.</w:t>
      </w:r>
    </w:p>
    <w:p>
      <w:pPr>
        <w:spacing w:after="0" w:line="202" w:lineRule="exact"/>
        <w:rPr>
          <w:rFonts w:ascii="Trebuchet MS" w:cs="Trebuchet MS" w:eastAsia="Trebuchet MS" w:hAnsi="Trebuchet MS"/>
          <w:sz w:val="20"/>
          <w:szCs w:val="20"/>
          <w:color w:val="auto"/>
        </w:rPr>
      </w:pPr>
    </w:p>
    <w:p>
      <w:pPr>
        <w:ind w:left="480" w:hanging="472"/>
        <w:spacing w:after="0"/>
        <w:tabs>
          <w:tab w:leader="none" w:pos="480" w:val="left"/>
        </w:tabs>
        <w:numPr>
          <w:ilvl w:val="0"/>
          <w:numId w:val="199"/>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CESSATION OF EMPLOYMENT</w:t>
      </w:r>
    </w:p>
    <w:p>
      <w:pPr>
        <w:spacing w:after="0" w:line="221" w:lineRule="exact"/>
        <w:rPr>
          <w:sz w:val="20"/>
          <w:szCs w:val="20"/>
          <w:color w:val="auto"/>
        </w:rPr>
      </w:pPr>
    </w:p>
    <w:p>
      <w:pPr>
        <w:ind w:left="740"/>
        <w:spacing w:after="0"/>
        <w:rPr>
          <w:sz w:val="20"/>
          <w:szCs w:val="20"/>
          <w:color w:val="auto"/>
        </w:rPr>
      </w:pPr>
      <w:r>
        <w:rPr>
          <w:rFonts w:ascii="Trebuchet MS" w:cs="Trebuchet MS" w:eastAsia="Trebuchet MS" w:hAnsi="Trebuchet MS"/>
          <w:sz w:val="20"/>
          <w:szCs w:val="20"/>
          <w:color w:val="auto"/>
        </w:rPr>
        <w:t>Subject to Rule 6.2 and subject to Rule 5:</w:t>
      </w:r>
    </w:p>
    <w:p>
      <w:pPr>
        <w:spacing w:after="0" w:line="213" w:lineRule="exact"/>
        <w:rPr>
          <w:sz w:val="20"/>
          <w:szCs w:val="20"/>
          <w:color w:val="auto"/>
        </w:rPr>
      </w:pPr>
    </w:p>
    <w:p>
      <w:pPr>
        <w:jc w:val="both"/>
        <w:ind w:left="480" w:hanging="736"/>
        <w:spacing w:after="0" w:line="239" w:lineRule="auto"/>
        <w:tabs>
          <w:tab w:leader="none" w:pos="460" w:val="left"/>
        </w:tabs>
        <w:rPr>
          <w:sz w:val="20"/>
          <w:szCs w:val="20"/>
          <w:color w:val="auto"/>
        </w:rPr>
      </w:pPr>
      <w:r>
        <w:rPr>
          <w:rFonts w:ascii="Trebuchet MS" w:cs="Trebuchet MS" w:eastAsia="Trebuchet MS" w:hAnsi="Trebuchet MS"/>
          <w:sz w:val="20"/>
          <w:szCs w:val="20"/>
          <w:color w:val="auto"/>
        </w:rPr>
        <w:t>7.1</w:t>
        <w:tab/>
        <w:t>If an Option Holder dies before exercising an Option or part thereof, the Option may (and must, if at all) be exercised by his personal representatives to the extent that any Exercise Conditions have been met within the period ending on the earlier of:</w:t>
      </w:r>
    </w:p>
    <w:p>
      <w:pPr>
        <w:spacing w:after="0" w:line="211" w:lineRule="exact"/>
        <w:rPr>
          <w:sz w:val="20"/>
          <w:szCs w:val="20"/>
          <w:color w:val="auto"/>
        </w:rPr>
      </w:pPr>
    </w:p>
    <w:p>
      <w:pPr>
        <w:ind w:left="1220" w:hanging="475"/>
        <w:spacing w:after="0"/>
        <w:tabs>
          <w:tab w:leader="none" w:pos="1220" w:val="left"/>
        </w:tabs>
        <w:numPr>
          <w:ilvl w:val="0"/>
          <w:numId w:val="20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expiry of 12 months after the date of death; and</w:t>
      </w:r>
    </w:p>
    <w:p>
      <w:pPr>
        <w:spacing w:after="0" w:line="213"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20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time referred to in Rule 6.2(a),</w:t>
      </w:r>
    </w:p>
    <w:p>
      <w:pPr>
        <w:spacing w:after="0" w:line="213" w:lineRule="exact"/>
        <w:rPr>
          <w:sz w:val="20"/>
          <w:szCs w:val="20"/>
          <w:color w:val="auto"/>
        </w:rPr>
      </w:pPr>
    </w:p>
    <w:p>
      <w:pPr>
        <w:ind w:left="740"/>
        <w:spacing w:after="0"/>
        <w:rPr>
          <w:sz w:val="20"/>
          <w:szCs w:val="20"/>
          <w:color w:val="auto"/>
        </w:rPr>
      </w:pPr>
      <w:r>
        <w:rPr>
          <w:rFonts w:ascii="Trebuchet MS" w:cs="Trebuchet MS" w:eastAsia="Trebuchet MS" w:hAnsi="Trebuchet MS"/>
          <w:sz w:val="20"/>
          <w:szCs w:val="20"/>
          <w:color w:val="auto"/>
        </w:rPr>
        <w:t>and failing such exercise the Option shall lapse.</w:t>
      </w:r>
    </w:p>
    <w:p>
      <w:pPr>
        <w:spacing w:after="0" w:line="213" w:lineRule="exact"/>
        <w:rPr>
          <w:sz w:val="20"/>
          <w:szCs w:val="20"/>
          <w:color w:val="auto"/>
        </w:rPr>
      </w:pPr>
    </w:p>
    <w:p>
      <w:pPr>
        <w:ind w:left="480" w:right="20" w:hanging="736"/>
        <w:spacing w:after="0"/>
        <w:tabs>
          <w:tab w:leader="none" w:pos="460" w:val="left"/>
        </w:tabs>
        <w:rPr>
          <w:sz w:val="20"/>
          <w:szCs w:val="20"/>
          <w:color w:val="auto"/>
        </w:rPr>
      </w:pPr>
      <w:r>
        <w:rPr>
          <w:rFonts w:ascii="Trebuchet MS" w:cs="Trebuchet MS" w:eastAsia="Trebuchet MS" w:hAnsi="Trebuchet MS"/>
          <w:sz w:val="20"/>
          <w:szCs w:val="20"/>
          <w:color w:val="auto"/>
        </w:rPr>
        <w:t>7.2</w:t>
        <w:tab/>
        <w:t>If an Option Holder ceases to be an Eligible Employee of the Company or of a Qualifying Subsidiary otherwise than on death:</w:t>
      </w:r>
    </w:p>
    <w:p>
      <w:pPr>
        <w:spacing w:after="0" w:line="211" w:lineRule="exact"/>
        <w:rPr>
          <w:sz w:val="20"/>
          <w:szCs w:val="20"/>
          <w:color w:val="auto"/>
        </w:rPr>
      </w:pPr>
    </w:p>
    <w:p>
      <w:pPr>
        <w:ind w:left="1340" w:hanging="595"/>
        <w:spacing w:after="0" w:line="239" w:lineRule="auto"/>
        <w:tabs>
          <w:tab w:leader="none" w:pos="1227" w:val="left"/>
        </w:tabs>
        <w:numPr>
          <w:ilvl w:val="0"/>
          <w:numId w:val="201"/>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by reason of cessation of employment with any Group Member due to ill health, injury or disability, redundancy or retirement on reaching the age at which he is bound to retire in accordance with the terms of his contract of employment; or</w:t>
      </w:r>
    </w:p>
    <w:p>
      <w:pPr>
        <w:spacing w:after="0" w:line="211" w:lineRule="exact"/>
        <w:rPr>
          <w:sz w:val="20"/>
          <w:szCs w:val="20"/>
          <w:color w:val="auto"/>
        </w:rPr>
      </w:pPr>
    </w:p>
    <w:p>
      <w:pPr>
        <w:ind w:left="740"/>
        <w:spacing w:after="0"/>
        <w:tabs>
          <w:tab w:leader="none" w:pos="1200" w:val="left"/>
          <w:tab w:leader="none" w:pos="3100" w:val="left"/>
        </w:tabs>
        <w:rPr>
          <w:sz w:val="20"/>
          <w:szCs w:val="20"/>
          <w:color w:val="auto"/>
        </w:rPr>
      </w:pPr>
      <w:r>
        <w:rPr>
          <w:rFonts w:ascii="Trebuchet MS" w:cs="Trebuchet MS" w:eastAsia="Trebuchet MS" w:hAnsi="Trebuchet MS"/>
          <w:sz w:val="20"/>
          <w:szCs w:val="20"/>
          <w:color w:val="auto"/>
        </w:rPr>
        <w:t>(b)</w:t>
        <w:tab/>
        <w:t>by reason only that</w:t>
      </w:r>
      <w:r>
        <w:rPr>
          <w:sz w:val="20"/>
          <w:szCs w:val="20"/>
          <w:color w:val="auto"/>
        </w:rPr>
        <w:tab/>
      </w:r>
      <w:r>
        <w:rPr>
          <w:rFonts w:ascii="Trebuchet MS" w:cs="Trebuchet MS" w:eastAsia="Trebuchet MS" w:hAnsi="Trebuchet MS"/>
          <w:sz w:val="19"/>
          <w:szCs w:val="19"/>
          <w:color w:val="auto"/>
        </w:rPr>
        <w:t>his office or employment is in a company of which the Company ceases to have Control; or</w:t>
      </w:r>
    </w:p>
    <w:p>
      <w:pPr>
        <w:spacing w:after="0" w:line="213" w:lineRule="exact"/>
        <w:rPr>
          <w:sz w:val="20"/>
          <w:szCs w:val="20"/>
          <w:color w:val="auto"/>
        </w:rPr>
      </w:pPr>
    </w:p>
    <w:p>
      <w:pPr>
        <w:ind w:left="1340" w:right="40" w:hanging="595"/>
        <w:spacing w:after="0"/>
        <w:tabs>
          <w:tab w:leader="none" w:pos="1227" w:val="left"/>
        </w:tabs>
        <w:numPr>
          <w:ilvl w:val="0"/>
          <w:numId w:val="20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his office or employment relates to a business or part of a business which is transferred to a person who is neither an Associated Company of the Company nor a company of which the Company has Control; or</w:t>
      </w:r>
    </w:p>
    <w:p>
      <w:pPr>
        <w:spacing w:after="0" w:line="210"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202"/>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by reason of cessation of employment for any other reason, apart from summary dismissal</w:t>
      </w: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4" w:name="page255"/>
    <w:bookmarkEnd w:id="254"/>
    <w:p>
      <w:pPr>
        <w:ind w:left="1340"/>
        <w:spacing w:after="0"/>
        <w:rPr>
          <w:sz w:val="20"/>
          <w:szCs w:val="20"/>
          <w:color w:val="auto"/>
        </w:rPr>
      </w:pPr>
      <w:r>
        <w:rPr>
          <w:rFonts w:ascii="Trebuchet MS" w:cs="Trebuchet MS" w:eastAsia="Trebuchet MS" w:hAnsi="Trebuchet MS"/>
          <w:sz w:val="20"/>
          <w:szCs w:val="20"/>
          <w:color w:val="auto"/>
        </w:rPr>
        <w:t>for fraud or gross misconduct;</w:t>
      </w:r>
    </w:p>
    <w:p>
      <w:pPr>
        <w:spacing w:after="0" w:line="213" w:lineRule="exact"/>
        <w:rPr>
          <w:sz w:val="20"/>
          <w:szCs w:val="20"/>
          <w:color w:val="auto"/>
        </w:rPr>
      </w:pPr>
    </w:p>
    <w:p>
      <w:pPr>
        <w:jc w:val="both"/>
        <w:ind w:left="740"/>
        <w:spacing w:after="0"/>
        <w:rPr>
          <w:sz w:val="20"/>
          <w:szCs w:val="20"/>
          <w:color w:val="auto"/>
        </w:rPr>
      </w:pPr>
      <w:r>
        <w:rPr>
          <w:rFonts w:ascii="Trebuchet MS" w:cs="Trebuchet MS" w:eastAsia="Trebuchet MS" w:hAnsi="Trebuchet MS"/>
          <w:sz w:val="20"/>
          <w:szCs w:val="20"/>
          <w:color w:val="auto"/>
        </w:rPr>
        <w:t>then any Option may be exercised, always only to the extent that any Exercise Conditions have been met when the Option Holder ceases to be an Eligible Employee of the Company or of a Qualifying Subsidiary, at any time prior to the expiry of the period of twelve months after his so ceasing and any Option not so exercised shall automatically lapse. For the avoidance of doubt where an Option Holder ceases to be an Eligible Employee of the Company or of a Qualifying Subsidiary, any part of an Option in respect of which Exercise Conditions have not been met shall lapse forthwith.</w:t>
      </w:r>
    </w:p>
    <w:p>
      <w:pPr>
        <w:spacing w:after="0" w:line="213"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7.3</w:t>
        <w:tab/>
        <w:t>If an Option Holder, other than for a reason specified in Rules 7.1 or 7.2, ceases to be an Eligible Employee of the Company or of a Qualifying Subsidiary including by reason of termination or repudiation of contract by the Company whether lawful or otherwise then any Option not exercised by the time of such cessation shall immediately cease to be exercisable and shall lapse 90 days after such cessation unless within 90 days after cessation the Board in its absolute discretion shall permit the Option to be exercised in whole or in part within a specified period in which event the Option may be exercised by the Option Holder to the extent so permitted by the Board so long as it is prior to the time referred to in Rule 6.1(a), and failing such exercise the Option shall lapse.</w:t>
      </w:r>
    </w:p>
    <w:p>
      <w:pPr>
        <w:spacing w:after="0" w:line="210"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7.4</w:t>
        <w:tab/>
        <w:t>An Option Holder shall not be treated for the purposes of these Rules as ceasing employment until such time as he is no longer a director or employee of the Company or of any Qualifying Subsidiary and an Option Holder (being a woman) who is absent from work by reason of pregnancy or confinement and who exercises her right to return to work under the Employment Rights Act 1996 before exercising an Option under the Scheme shall be treated for the purposes of these Rules as not having ceased to be such an employee.</w:t>
      </w:r>
    </w:p>
    <w:p>
      <w:pPr>
        <w:spacing w:after="0" w:line="212"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7.5</w:t>
        <w:tab/>
        <w:t>For the purposes of these Rules, where an Option Holder’s contract of employment with the Group is terminated by a Group Member without notice the Option Holder’s employment shall be deemed to cease on the date on which the termination takes effect and where the said contract is terminated by notice given or received by a Group Member, the Option Holder’s employment shall be deemed to cease on the date on which that notice is served.</w:t>
      </w:r>
    </w:p>
    <w:p>
      <w:pPr>
        <w:spacing w:after="0" w:line="205" w:lineRule="exact"/>
        <w:rPr>
          <w:sz w:val="20"/>
          <w:szCs w:val="20"/>
          <w:color w:val="auto"/>
        </w:rPr>
      </w:pPr>
    </w:p>
    <w:p>
      <w:pPr>
        <w:ind w:left="480" w:hanging="472"/>
        <w:spacing w:after="0"/>
        <w:tabs>
          <w:tab w:leader="none" w:pos="480" w:val="left"/>
        </w:tabs>
        <w:numPr>
          <w:ilvl w:val="0"/>
          <w:numId w:val="203"/>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CHANGE OF CONTROL AND SALE OF THE COMPANY</w:t>
      </w:r>
    </w:p>
    <w:p>
      <w:pPr>
        <w:spacing w:after="0" w:line="213"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8.1</w:t>
      </w:r>
      <w:r>
        <w:rPr>
          <w:sz w:val="20"/>
          <w:szCs w:val="20"/>
          <w:color w:val="auto"/>
        </w:rPr>
        <w:tab/>
      </w:r>
      <w:r>
        <w:rPr>
          <w:rFonts w:ascii="Trebuchet MS" w:cs="Trebuchet MS" w:eastAsia="Trebuchet MS" w:hAnsi="Trebuchet MS"/>
          <w:sz w:val="19"/>
          <w:szCs w:val="19"/>
          <w:b w:val="1"/>
          <w:bCs w:val="1"/>
          <w:color w:val="auto"/>
        </w:rPr>
        <w:t xml:space="preserve">Change of Control </w:t>
      </w:r>
      <w:r>
        <w:rPr>
          <w:rFonts w:ascii="Trebuchet MS" w:cs="Trebuchet MS" w:eastAsia="Trebuchet MS" w:hAnsi="Trebuchet MS"/>
          <w:sz w:val="19"/>
          <w:szCs w:val="19"/>
          <w:color w:val="auto"/>
        </w:rPr>
        <w:t>- If:</w:t>
      </w:r>
    </w:p>
    <w:p>
      <w:pPr>
        <w:spacing w:after="0" w:line="221" w:lineRule="exact"/>
        <w:rPr>
          <w:sz w:val="20"/>
          <w:szCs w:val="20"/>
          <w:color w:val="auto"/>
        </w:rPr>
      </w:pPr>
    </w:p>
    <w:p>
      <w:pPr>
        <w:ind w:left="1220" w:hanging="475"/>
        <w:spacing w:after="0"/>
        <w:tabs>
          <w:tab w:leader="none" w:pos="1220" w:val="left"/>
        </w:tabs>
        <w:numPr>
          <w:ilvl w:val="0"/>
          <w:numId w:val="20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any person or group of persons acting in concert obtains Control of the Company as a result of making:</w:t>
      </w:r>
    </w:p>
    <w:p>
      <w:pPr>
        <w:spacing w:after="0" w:line="213" w:lineRule="exact"/>
        <w:rPr>
          <w:rFonts w:ascii="Trebuchet MS" w:cs="Trebuchet MS" w:eastAsia="Trebuchet MS" w:hAnsi="Trebuchet MS"/>
          <w:sz w:val="20"/>
          <w:szCs w:val="20"/>
          <w:color w:val="auto"/>
        </w:rPr>
      </w:pPr>
    </w:p>
    <w:p>
      <w:pPr>
        <w:ind w:left="1920" w:hanging="585"/>
        <w:spacing w:after="0"/>
        <w:tabs>
          <w:tab w:leader="none" w:pos="1807" w:val="left"/>
        </w:tabs>
        <w:numPr>
          <w:ilvl w:val="1"/>
          <w:numId w:val="20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an offer to acquire more than 50% of the Capital of the Company which is made on a condition such that if it is satisfied the person or group of persons will have Control of the Company; or</w:t>
      </w:r>
    </w:p>
    <w:p>
      <w:pPr>
        <w:spacing w:after="0" w:line="210" w:lineRule="exact"/>
        <w:rPr>
          <w:rFonts w:ascii="Trebuchet MS" w:cs="Trebuchet MS" w:eastAsia="Trebuchet MS" w:hAnsi="Trebuchet MS"/>
          <w:sz w:val="20"/>
          <w:szCs w:val="20"/>
          <w:color w:val="auto"/>
        </w:rPr>
      </w:pPr>
    </w:p>
    <w:p>
      <w:pPr>
        <w:ind w:left="1820" w:hanging="485"/>
        <w:spacing w:after="0"/>
        <w:tabs>
          <w:tab w:leader="none" w:pos="1820" w:val="left"/>
        </w:tabs>
        <w:numPr>
          <w:ilvl w:val="1"/>
          <w:numId w:val="204"/>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general offer to acquire all the Capital (or all the shares which are of the same class</w:t>
      </w: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5" w:name="page256"/>
    <w:bookmarkEnd w:id="255"/>
    <w:p>
      <w:pPr>
        <w:ind w:left="1920"/>
        <w:spacing w:after="0"/>
        <w:rPr>
          <w:sz w:val="20"/>
          <w:szCs w:val="20"/>
          <w:color w:val="auto"/>
        </w:rPr>
      </w:pPr>
      <w:r>
        <w:rPr>
          <w:rFonts w:ascii="Trebuchet MS" w:cs="Trebuchet MS" w:eastAsia="Trebuchet MS" w:hAnsi="Trebuchet MS"/>
          <w:sz w:val="20"/>
          <w:szCs w:val="20"/>
          <w:color w:val="auto"/>
        </w:rPr>
        <w:t>of those to which the Option relates); or</w:t>
      </w:r>
    </w:p>
    <w:p>
      <w:pPr>
        <w:spacing w:after="0" w:line="213" w:lineRule="exact"/>
        <w:rPr>
          <w:sz w:val="20"/>
          <w:szCs w:val="20"/>
          <w:color w:val="auto"/>
        </w:rPr>
      </w:pPr>
    </w:p>
    <w:p>
      <w:pPr>
        <w:ind w:left="1340" w:right="40" w:hanging="595"/>
        <w:spacing w:after="0"/>
        <w:tabs>
          <w:tab w:leader="none" w:pos="1227" w:val="left"/>
        </w:tabs>
        <w:numPr>
          <w:ilvl w:val="0"/>
          <w:numId w:val="20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any person becomes entitled or bound to acquire shares in the capital of the Company under sections 974 to 991 of the Companies Act 2006; or</w:t>
      </w:r>
    </w:p>
    <w:p>
      <w:pPr>
        <w:spacing w:after="0" w:line="210" w:lineRule="exact"/>
        <w:rPr>
          <w:rFonts w:ascii="Trebuchet MS" w:cs="Trebuchet MS" w:eastAsia="Trebuchet MS" w:hAnsi="Trebuchet MS"/>
          <w:sz w:val="20"/>
          <w:szCs w:val="20"/>
          <w:color w:val="auto"/>
        </w:rPr>
      </w:pPr>
    </w:p>
    <w:p>
      <w:pPr>
        <w:ind w:left="1340" w:right="20" w:hanging="595"/>
        <w:spacing w:after="0" w:line="239" w:lineRule="auto"/>
        <w:tabs>
          <w:tab w:leader="none" w:pos="1227" w:val="left"/>
        </w:tabs>
        <w:numPr>
          <w:ilvl w:val="0"/>
          <w:numId w:val="205"/>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under sections 895 to 901 of the Companies Act 2006 the court sanctions a compromise or arrangement proposed for the purposes of or in connection with a scheme for the reconstruction of the Company or its amalgamation with any other company or companies;</w:t>
      </w:r>
    </w:p>
    <w:p>
      <w:pPr>
        <w:spacing w:after="0" w:line="211" w:lineRule="exact"/>
        <w:rPr>
          <w:sz w:val="20"/>
          <w:szCs w:val="20"/>
          <w:color w:val="auto"/>
        </w:rPr>
      </w:pPr>
    </w:p>
    <w:p>
      <w:pPr>
        <w:jc w:val="both"/>
        <w:ind w:left="740"/>
        <w:spacing w:after="0" w:line="238" w:lineRule="auto"/>
        <w:rPr>
          <w:sz w:val="20"/>
          <w:szCs w:val="20"/>
          <w:color w:val="auto"/>
        </w:rPr>
      </w:pPr>
      <w:r>
        <w:rPr>
          <w:rFonts w:ascii="Trebuchet MS" w:cs="Trebuchet MS" w:eastAsia="Trebuchet MS" w:hAnsi="Trebuchet MS"/>
          <w:sz w:val="20"/>
          <w:szCs w:val="20"/>
          <w:color w:val="auto"/>
        </w:rPr>
        <w:t>and if the Option Agreement allows for exercise of the Option on a Change of Control, an Option Holder (or his personal representative) may at any time during the three days prior to or within the Appropriate Period, exercise any Option or part thereof which has not lapsed. Any Option which is not so exercised shall lapse at the expiry of the Appropriate Period.</w:t>
      </w:r>
    </w:p>
    <w:p>
      <w:pPr>
        <w:spacing w:after="0" w:line="205"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b w:val="1"/>
          <w:bCs w:val="1"/>
          <w:color w:val="auto"/>
        </w:rPr>
        <w:t>8.2</w:t>
      </w:r>
      <w:r>
        <w:rPr>
          <w:sz w:val="20"/>
          <w:szCs w:val="20"/>
          <w:color w:val="auto"/>
        </w:rPr>
        <w:tab/>
      </w:r>
      <w:r>
        <w:rPr>
          <w:rFonts w:ascii="Trebuchet MS" w:cs="Trebuchet MS" w:eastAsia="Trebuchet MS" w:hAnsi="Trebuchet MS"/>
          <w:sz w:val="19"/>
          <w:szCs w:val="19"/>
          <w:b w:val="1"/>
          <w:bCs w:val="1"/>
          <w:color w:val="auto"/>
        </w:rPr>
        <w:t>Replacement Options:</w:t>
      </w:r>
    </w:p>
    <w:p>
      <w:pPr>
        <w:spacing w:after="0" w:line="213" w:lineRule="exact"/>
        <w:rPr>
          <w:sz w:val="20"/>
          <w:szCs w:val="20"/>
          <w:color w:val="auto"/>
        </w:rPr>
      </w:pPr>
    </w:p>
    <w:p>
      <w:pPr>
        <w:ind w:left="1340" w:hanging="595"/>
        <w:spacing w:after="0" w:line="252" w:lineRule="auto"/>
        <w:tabs>
          <w:tab w:leader="none" w:pos="1227" w:val="left"/>
        </w:tabs>
        <w:numPr>
          <w:ilvl w:val="0"/>
          <w:numId w:val="206"/>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 xml:space="preserve">If a company (in this Rule called the </w:t>
      </w:r>
      <w:r>
        <w:rPr>
          <w:rFonts w:ascii="Trebuchet MS" w:cs="Trebuchet MS" w:eastAsia="Trebuchet MS" w:hAnsi="Trebuchet MS"/>
          <w:sz w:val="19"/>
          <w:szCs w:val="19"/>
          <w:b w:val="1"/>
          <w:bCs w:val="1"/>
          <w:color w:val="auto"/>
        </w:rPr>
        <w:t>“Acquiring Company”)</w:t>
      </w:r>
      <w:r>
        <w:rPr>
          <w:rFonts w:ascii="Trebuchet MS" w:cs="Trebuchet MS" w:eastAsia="Trebuchet MS" w:hAnsi="Trebuchet MS"/>
          <w:sz w:val="19"/>
          <w:szCs w:val="19"/>
          <w:color w:val="auto"/>
        </w:rPr>
        <w:t xml:space="preserve"> has acquired Control of the Company as a result of any of the events described in Rule 8.1(a) or 8.1(c), or becomes entitled or bound as mentioned in Rule 8.1(b) or obtains all the shares of the Company whose shares are subject to any outstanding Qualifying Options as a result of a qualifying exchange of shares (as defined in paragraph 40(1) Schedule 5) (such acquiring of Control or becoming entitled or bound or obtains, being referred to below as a </w:t>
      </w:r>
      <w:r>
        <w:rPr>
          <w:rFonts w:ascii="Trebuchet MS" w:cs="Trebuchet MS" w:eastAsia="Trebuchet MS" w:hAnsi="Trebuchet MS"/>
          <w:sz w:val="19"/>
          <w:szCs w:val="19"/>
          <w:b w:val="1"/>
          <w:bCs w:val="1"/>
          <w:color w:val="auto"/>
        </w:rPr>
        <w:t>“Specific Event”),</w:t>
      </w:r>
      <w:r>
        <w:rPr>
          <w:rFonts w:ascii="Trebuchet MS" w:cs="Trebuchet MS" w:eastAsia="Trebuchet MS" w:hAnsi="Trebuchet MS"/>
          <w:sz w:val="19"/>
          <w:szCs w:val="19"/>
          <w:color w:val="auto"/>
        </w:rPr>
        <w:t xml:space="preserve"> any Option Holder may by agreement with the Acquiring Company at any time within the Appropriate Period as defined in Rule 8.3 below release his rights in respect of any EMI Option held by him (in this Rule referred to as the </w:t>
      </w:r>
      <w:r>
        <w:rPr>
          <w:rFonts w:ascii="Trebuchet MS" w:cs="Trebuchet MS" w:eastAsia="Trebuchet MS" w:hAnsi="Trebuchet MS"/>
          <w:sz w:val="19"/>
          <w:szCs w:val="19"/>
          <w:b w:val="1"/>
          <w:bCs w:val="1"/>
          <w:color w:val="auto"/>
        </w:rPr>
        <w:t>“Old</w:t>
      </w:r>
      <w:r>
        <w:rPr>
          <w:rFonts w:ascii="Trebuchet MS" w:cs="Trebuchet MS" w:eastAsia="Trebuchet MS" w:hAnsi="Trebuchet MS"/>
          <w:sz w:val="19"/>
          <w:szCs w:val="19"/>
          <w:color w:val="auto"/>
        </w:rPr>
        <w:t xml:space="preserve"> </w:t>
      </w:r>
      <w:r>
        <w:rPr>
          <w:rFonts w:ascii="Trebuchet MS" w:cs="Trebuchet MS" w:eastAsia="Trebuchet MS" w:hAnsi="Trebuchet MS"/>
          <w:sz w:val="19"/>
          <w:szCs w:val="19"/>
          <w:b w:val="1"/>
          <w:bCs w:val="1"/>
          <w:color w:val="auto"/>
        </w:rPr>
        <w:t xml:space="preserve">Option”) </w:t>
      </w:r>
      <w:r>
        <w:rPr>
          <w:rFonts w:ascii="Trebuchet MS" w:cs="Trebuchet MS" w:eastAsia="Trebuchet MS" w:hAnsi="Trebuchet MS"/>
          <w:sz w:val="19"/>
          <w:szCs w:val="19"/>
          <w:color w:val="auto"/>
        </w:rPr>
        <w:t>in consideration of the grant to him of rights (in this Rule referred to as the</w:t>
      </w:r>
      <w:r>
        <w:rPr>
          <w:rFonts w:ascii="Trebuchet MS" w:cs="Trebuchet MS" w:eastAsia="Trebuchet MS" w:hAnsi="Trebuchet MS"/>
          <w:sz w:val="19"/>
          <w:szCs w:val="19"/>
          <w:b w:val="1"/>
          <w:bCs w:val="1"/>
          <w:color w:val="auto"/>
        </w:rPr>
        <w:t xml:space="preserve"> “Replacement Option”) </w:t>
      </w:r>
      <w:r>
        <w:rPr>
          <w:rFonts w:ascii="Trebuchet MS" w:cs="Trebuchet MS" w:eastAsia="Trebuchet MS" w:hAnsi="Trebuchet MS"/>
          <w:sz w:val="19"/>
          <w:szCs w:val="19"/>
          <w:color w:val="auto"/>
        </w:rPr>
        <w:t>which are equivalent and relate to shares in the Acquiring Company, and which comply with Rule 8.2(b).</w:t>
      </w:r>
    </w:p>
    <w:p>
      <w:pPr>
        <w:spacing w:after="0" w:line="204" w:lineRule="exact"/>
        <w:rPr>
          <w:rFonts w:ascii="Trebuchet MS" w:cs="Trebuchet MS" w:eastAsia="Trebuchet MS" w:hAnsi="Trebuchet MS"/>
          <w:sz w:val="19"/>
          <w:szCs w:val="19"/>
          <w:color w:val="auto"/>
        </w:rPr>
      </w:pPr>
    </w:p>
    <w:p>
      <w:pPr>
        <w:ind w:left="1340" w:hanging="595"/>
        <w:spacing w:after="0" w:line="239" w:lineRule="auto"/>
        <w:tabs>
          <w:tab w:leader="none" w:pos="1227" w:val="left"/>
        </w:tabs>
        <w:numPr>
          <w:ilvl w:val="0"/>
          <w:numId w:val="206"/>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 Replacement Option is one in relation to which the requirements of paragraph 43 of Schedule 5 are satisfied at the time of release of the Old Option including grant by reason of the Option Holder’s employment with the Acquiring Company.</w:t>
      </w:r>
    </w:p>
    <w:p>
      <w:pPr>
        <w:spacing w:after="0" w:line="203" w:lineRule="exact"/>
        <w:rPr>
          <w:sz w:val="20"/>
          <w:szCs w:val="20"/>
          <w:color w:val="auto"/>
        </w:rPr>
      </w:pPr>
    </w:p>
    <w:p>
      <w:pPr>
        <w:spacing w:after="0"/>
        <w:tabs>
          <w:tab w:leader="none" w:pos="460" w:val="left"/>
        </w:tabs>
        <w:rPr>
          <w:sz w:val="20"/>
          <w:szCs w:val="20"/>
          <w:color w:val="auto"/>
        </w:rPr>
      </w:pPr>
      <w:r>
        <w:rPr>
          <w:rFonts w:ascii="Trebuchet MS" w:cs="Trebuchet MS" w:eastAsia="Trebuchet MS" w:hAnsi="Trebuchet MS"/>
          <w:sz w:val="20"/>
          <w:szCs w:val="20"/>
          <w:color w:val="auto"/>
        </w:rPr>
        <w:t>8.3</w:t>
      </w:r>
      <w:r>
        <w:rPr>
          <w:sz w:val="20"/>
          <w:szCs w:val="20"/>
          <w:color w:val="auto"/>
        </w:rPr>
        <w:tab/>
      </w:r>
      <w:r>
        <w:rPr>
          <w:rFonts w:ascii="Trebuchet MS" w:cs="Trebuchet MS" w:eastAsia="Trebuchet MS" w:hAnsi="Trebuchet MS"/>
          <w:sz w:val="19"/>
          <w:szCs w:val="19"/>
          <w:color w:val="auto"/>
        </w:rPr>
        <w:t>“</w:t>
      </w:r>
      <w:r>
        <w:rPr>
          <w:rFonts w:ascii="Trebuchet MS" w:cs="Trebuchet MS" w:eastAsia="Trebuchet MS" w:hAnsi="Trebuchet MS"/>
          <w:sz w:val="19"/>
          <w:szCs w:val="19"/>
          <w:b w:val="1"/>
          <w:bCs w:val="1"/>
          <w:color w:val="auto"/>
        </w:rPr>
        <w:t>Appropriate Period”</w:t>
      </w:r>
      <w:r>
        <w:rPr>
          <w:rFonts w:ascii="Trebuchet MS" w:cs="Trebuchet MS" w:eastAsia="Trebuchet MS" w:hAnsi="Trebuchet MS"/>
          <w:sz w:val="19"/>
          <w:szCs w:val="19"/>
          <w:color w:val="auto"/>
        </w:rPr>
        <w:t xml:space="preserve"> means:</w:t>
      </w:r>
    </w:p>
    <w:p>
      <w:pPr>
        <w:spacing w:after="0" w:line="221" w:lineRule="exact"/>
        <w:rPr>
          <w:sz w:val="20"/>
          <w:szCs w:val="20"/>
          <w:color w:val="auto"/>
        </w:rPr>
      </w:pPr>
    </w:p>
    <w:p>
      <w:pPr>
        <w:ind w:left="1340" w:hanging="595"/>
        <w:spacing w:after="0" w:line="239" w:lineRule="auto"/>
        <w:tabs>
          <w:tab w:leader="none" w:pos="1227" w:val="left"/>
        </w:tabs>
        <w:numPr>
          <w:ilvl w:val="0"/>
          <w:numId w:val="207"/>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in a case falling within Rule 8.1(a) and where Rule 8.1(b) does not apply, the period of six months beginning with the time when the person making the offer has obtained Control of the Company and any condition subject to which the offer is made is satisfied;</w:t>
      </w:r>
    </w:p>
    <w:p>
      <w:pPr>
        <w:spacing w:after="0" w:line="210"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207"/>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in a case falling within Rule 8.1(b) the period during which the person remains bound or entitled as mentioned in that paragraph; and</w:t>
      </w:r>
    </w:p>
    <w:p>
      <w:pPr>
        <w:spacing w:after="0" w:line="210"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207"/>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in a case falling within Rule 8.1(c) the period of six months beginning with the time when the court sanctions the compromise or arrangement.</w:t>
      </w:r>
    </w:p>
    <w:p>
      <w:pPr>
        <w:spacing w:after="0" w:line="21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6" w:name="page257"/>
    <w:bookmarkEnd w:id="256"/>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8.4</w:t>
        <w:tab/>
        <w:t>If a Replacement Option shall be granted to an Option Holder by reference to any Specific Event, Rules 8.1(a), 8.1(b) and 8.1(c) above shall cease to apply by reference to that Specific Event (but without prejudice to their application by reference to any other Specific Event). Any EMI Option which is not exercised or released pursuant to this Rule within the Appropriate Period following a Specific Event (but not any Replacement Option granted by reference to that Specific Event) shall lapse.</w:t>
      </w:r>
    </w:p>
    <w:p>
      <w:pPr>
        <w:spacing w:after="0" w:line="204" w:lineRule="exact"/>
        <w:rPr>
          <w:sz w:val="20"/>
          <w:szCs w:val="20"/>
          <w:color w:val="auto"/>
        </w:rPr>
      </w:pPr>
    </w:p>
    <w:p>
      <w:pPr>
        <w:jc w:val="both"/>
        <w:ind w:left="480" w:hanging="736"/>
        <w:spacing w:after="0"/>
        <w:tabs>
          <w:tab w:leader="none" w:pos="460" w:val="left"/>
        </w:tabs>
        <w:rPr>
          <w:sz w:val="20"/>
          <w:szCs w:val="20"/>
          <w:color w:val="auto"/>
        </w:rPr>
      </w:pPr>
      <w:r>
        <w:rPr>
          <w:rFonts w:ascii="Trebuchet MS" w:cs="Trebuchet MS" w:eastAsia="Trebuchet MS" w:hAnsi="Trebuchet MS"/>
          <w:sz w:val="20"/>
          <w:szCs w:val="20"/>
          <w:color w:val="auto"/>
        </w:rPr>
        <w:t>8.5</w:t>
      </w:r>
      <w:r>
        <w:rPr>
          <w:sz w:val="20"/>
          <w:szCs w:val="20"/>
          <w:color w:val="auto"/>
        </w:rPr>
        <w:tab/>
      </w:r>
      <w:r>
        <w:rPr>
          <w:rFonts w:ascii="Trebuchet MS" w:cs="Trebuchet MS" w:eastAsia="Trebuchet MS" w:hAnsi="Trebuchet MS"/>
          <w:sz w:val="20"/>
          <w:szCs w:val="20"/>
          <w:b w:val="1"/>
          <w:bCs w:val="1"/>
          <w:color w:val="auto"/>
        </w:rPr>
        <w:t xml:space="preserve">Sale: </w:t>
      </w:r>
      <w:r>
        <w:rPr>
          <w:rFonts w:ascii="Trebuchet MS" w:cs="Trebuchet MS" w:eastAsia="Trebuchet MS" w:hAnsi="Trebuchet MS"/>
          <w:sz w:val="20"/>
          <w:szCs w:val="20"/>
          <w:color w:val="auto"/>
        </w:rPr>
        <w:t>If the Option Agreement allows for exercise of the Option on a Sale, in the event that the Board becomes aware</w:t>
      </w:r>
      <w:r>
        <w:rPr>
          <w:rFonts w:ascii="Trebuchet MS" w:cs="Trebuchet MS" w:eastAsia="Trebuchet MS" w:hAnsi="Trebuchet MS"/>
          <w:sz w:val="20"/>
          <w:szCs w:val="20"/>
          <w:b w:val="1"/>
          <w:bCs w:val="1"/>
          <w:color w:val="auto"/>
        </w:rPr>
        <w:t xml:space="preserve"> </w:t>
      </w:r>
      <w:r>
        <w:rPr>
          <w:rFonts w:ascii="Trebuchet MS" w:cs="Trebuchet MS" w:eastAsia="Trebuchet MS" w:hAnsi="Trebuchet MS"/>
          <w:sz w:val="20"/>
          <w:szCs w:val="20"/>
          <w:color w:val="auto"/>
        </w:rPr>
        <w:t>that there may be a Sale of the Company they shall give notice (a "</w:t>
      </w:r>
      <w:r>
        <w:rPr>
          <w:rFonts w:ascii="Trebuchet MS" w:cs="Trebuchet MS" w:eastAsia="Trebuchet MS" w:hAnsi="Trebuchet MS"/>
          <w:sz w:val="20"/>
          <w:szCs w:val="20"/>
          <w:b w:val="1"/>
          <w:bCs w:val="1"/>
          <w:color w:val="auto"/>
        </w:rPr>
        <w:t>Sale Notice</w:t>
      </w:r>
      <w:r>
        <w:rPr>
          <w:rFonts w:ascii="Trebuchet MS" w:cs="Trebuchet MS" w:eastAsia="Trebuchet MS" w:hAnsi="Trebuchet MS"/>
          <w:sz w:val="20"/>
          <w:szCs w:val="20"/>
          <w:color w:val="auto"/>
        </w:rPr>
        <w:t>") in writing to the Option Holder specifying that a Sale may be forthcoming and that the Option will lapse immediately following the sale if not exercised prior to completion of the Sale unless a Replacement Option is offered to the Option Holder in accordance with Rule 8.2 (or unless some other form of replacement option is offered by the prospective purchaser).</w:t>
      </w:r>
    </w:p>
    <w:p>
      <w:pPr>
        <w:spacing w:after="0" w:line="210"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8.6</w:t>
        <w:tab/>
        <w:t>At any time after receipt of a Sale Notice under Rule 8.5 and prior to completion of the Sale, the Option Holder may exercise the Option in accordance with Rule 6 but only on the basis that the Option Holder agrees to sell to the purchaser on completion of the Sale all the Shares acquired as a result of the exercise of the Option. Any such Exercise Notice from the Option Holder shall be accompanied by a cheque for the aggregate Option Price but shall specify the number of Shares over which the Option Holder wishes to exercise his Option, and any such notice may not be withdrawn without the consent of the Board.</w:t>
      </w:r>
    </w:p>
    <w:p>
      <w:pPr>
        <w:spacing w:after="0" w:line="211" w:lineRule="exact"/>
        <w:rPr>
          <w:sz w:val="20"/>
          <w:szCs w:val="20"/>
          <w:color w:val="auto"/>
        </w:rPr>
      </w:pPr>
    </w:p>
    <w:p>
      <w:pPr>
        <w:jc w:val="both"/>
        <w:ind w:left="480" w:right="20" w:hanging="736"/>
        <w:spacing w:after="0" w:line="239" w:lineRule="auto"/>
        <w:tabs>
          <w:tab w:leader="none" w:pos="460" w:val="left"/>
        </w:tabs>
        <w:rPr>
          <w:sz w:val="20"/>
          <w:szCs w:val="20"/>
          <w:color w:val="auto"/>
        </w:rPr>
      </w:pPr>
      <w:r>
        <w:rPr>
          <w:rFonts w:ascii="Trebuchet MS" w:cs="Trebuchet MS" w:eastAsia="Trebuchet MS" w:hAnsi="Trebuchet MS"/>
          <w:sz w:val="20"/>
          <w:szCs w:val="20"/>
          <w:color w:val="auto"/>
        </w:rPr>
        <w:t>8.7</w:t>
        <w:tab/>
        <w:t>Completion of the subscription for, or transfer of, the Shares shall take place prior to completion of the Sale and the Company shall issue and allot the relevant Shares in favour of the Option Holder and shall register such issue and allotment or transfer prior to completion of the Sale.</w:t>
      </w:r>
    </w:p>
    <w:p>
      <w:pPr>
        <w:spacing w:after="0" w:line="211"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8.8</w:t>
        <w:tab/>
        <w:t>In the event that the Sale proceeds are received directly by the Option Holder, the Option Holder undertakes to reimburse the Company (or any other Group Company) for a sum equal to the aggregate Option Price, along with any Tax liabilities and/or secondary NIC Liability that may be due in relation to the exercise of the Option, whether by deduction under Rule 6.4 or otherwise.</w:t>
      </w:r>
    </w:p>
    <w:p>
      <w:pPr>
        <w:spacing w:after="0" w:line="213" w:lineRule="exact"/>
        <w:rPr>
          <w:sz w:val="20"/>
          <w:szCs w:val="20"/>
          <w:color w:val="auto"/>
        </w:rPr>
      </w:pPr>
    </w:p>
    <w:p>
      <w:pPr>
        <w:jc w:val="both"/>
        <w:ind w:left="480" w:hanging="736"/>
        <w:spacing w:after="0"/>
        <w:tabs>
          <w:tab w:leader="none" w:pos="460" w:val="left"/>
        </w:tabs>
        <w:rPr>
          <w:sz w:val="20"/>
          <w:szCs w:val="20"/>
          <w:color w:val="auto"/>
        </w:rPr>
      </w:pPr>
      <w:r>
        <w:rPr>
          <w:rFonts w:ascii="Trebuchet MS" w:cs="Trebuchet MS" w:eastAsia="Trebuchet MS" w:hAnsi="Trebuchet MS"/>
          <w:sz w:val="20"/>
          <w:szCs w:val="20"/>
          <w:color w:val="auto"/>
        </w:rPr>
        <w:t>8.9</w:t>
        <w:tab/>
        <w:t>Rule 8.5 to 8.8 above dealing with a Sale shall take priority over Rule 8.1 dealing with other forms of Change of Control and for the avoidance of doubt in the event of a Sale, Rule 8.1 will not apply but Rules 8.2 to 8.4 may apply.</w:t>
      </w:r>
    </w:p>
    <w:p>
      <w:pPr>
        <w:spacing w:after="0" w:line="203" w:lineRule="exact"/>
        <w:rPr>
          <w:sz w:val="20"/>
          <w:szCs w:val="20"/>
          <w:color w:val="auto"/>
        </w:rPr>
      </w:pPr>
    </w:p>
    <w:p>
      <w:pPr>
        <w:ind w:left="480" w:hanging="472"/>
        <w:spacing w:after="0"/>
        <w:tabs>
          <w:tab w:leader="none" w:pos="480" w:val="left"/>
        </w:tabs>
        <w:numPr>
          <w:ilvl w:val="0"/>
          <w:numId w:val="208"/>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WINDING-UP OF THE COMPANY</w:t>
      </w:r>
    </w:p>
    <w:p>
      <w:pPr>
        <w:spacing w:after="0" w:line="221" w:lineRule="exact"/>
        <w:rPr>
          <w:sz w:val="20"/>
          <w:szCs w:val="20"/>
          <w:color w:val="auto"/>
        </w:rPr>
      </w:pPr>
    </w:p>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9.1</w:t>
        <w:tab/>
        <w:t>If at any time while any Option remains unexercised notice is duly given of a general meeting of the Company at which a resolution will be proposed for the voluntary liquidation of the Company, every Option which has not lapsed prior to such resolution shall be exercisable in whole or in part until the commencement of such winding-up within the meaning of Section 86 of the Insolvency Act 1986.</w:t>
      </w: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7" w:name="page258"/>
    <w:bookmarkEnd w:id="257"/>
    <w:p>
      <w:pPr>
        <w:jc w:val="both"/>
        <w:ind w:left="480" w:hanging="736"/>
        <w:spacing w:after="0" w:line="238" w:lineRule="auto"/>
        <w:tabs>
          <w:tab w:leader="none" w:pos="460" w:val="left"/>
        </w:tabs>
        <w:rPr>
          <w:sz w:val="20"/>
          <w:szCs w:val="20"/>
          <w:color w:val="auto"/>
        </w:rPr>
      </w:pPr>
      <w:r>
        <w:rPr>
          <w:rFonts w:ascii="Trebuchet MS" w:cs="Trebuchet MS" w:eastAsia="Trebuchet MS" w:hAnsi="Trebuchet MS"/>
          <w:sz w:val="20"/>
          <w:szCs w:val="20"/>
          <w:color w:val="auto"/>
        </w:rPr>
        <w:t>9.2</w:t>
        <w:tab/>
        <w:t>Pursuant to the above Rule 9.1 the Company shall give to each Option Holder holding any unexercised Option notice of any meeting called for the purpose of considering a resolution for the voluntary liquidation of the Company and shall at the same time give him notice of his rights under this Rule 9 and subject to the foregoing, all Options shall lapse on the commencement of any liquidation of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hanging="472"/>
        <w:spacing w:after="0"/>
        <w:tabs>
          <w:tab w:leader="none" w:pos="480" w:val="left"/>
        </w:tabs>
        <w:numPr>
          <w:ilvl w:val="0"/>
          <w:numId w:val="209"/>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VARIATION OF CAPITAL</w:t>
      </w:r>
    </w:p>
    <w:p>
      <w:pPr>
        <w:spacing w:after="0" w:line="221" w:lineRule="exact"/>
        <w:rPr>
          <w:sz w:val="20"/>
          <w:szCs w:val="20"/>
          <w:color w:val="auto"/>
        </w:rPr>
      </w:pPr>
    </w:p>
    <w:p>
      <w:pPr>
        <w:jc w:val="both"/>
        <w:ind w:left="740" w:hanging="736"/>
        <w:spacing w:after="0" w:line="239" w:lineRule="auto"/>
        <w:rPr>
          <w:sz w:val="20"/>
          <w:szCs w:val="20"/>
          <w:color w:val="auto"/>
        </w:rPr>
      </w:pPr>
      <w:r>
        <w:rPr>
          <w:rFonts w:ascii="Trebuchet MS" w:cs="Trebuchet MS" w:eastAsia="Trebuchet MS" w:hAnsi="Trebuchet MS"/>
          <w:sz w:val="20"/>
          <w:szCs w:val="20"/>
          <w:color w:val="auto"/>
        </w:rPr>
        <w:t>10.1 Subject to Rules 10.3 and 10.4 below, in the event of any increase or variation of the Capital (whenever effected) by way of capitalisation or rights issue, or sub-division, consolidation or reduction, the Board may make such adjustments as they consider appropriate under Rule 10.2 below.</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20"/>
          <w:szCs w:val="20"/>
          <w:color w:val="auto"/>
        </w:rPr>
        <w:t>10.2 An adjustment made under this Rule 10 shall be to one or more of the following:</w:t>
      </w:r>
    </w:p>
    <w:p>
      <w:pPr>
        <w:spacing w:after="0" w:line="213" w:lineRule="exact"/>
        <w:rPr>
          <w:sz w:val="20"/>
          <w:szCs w:val="20"/>
          <w:color w:val="auto"/>
        </w:rPr>
      </w:pPr>
    </w:p>
    <w:p>
      <w:pPr>
        <w:ind w:left="1220" w:hanging="475"/>
        <w:spacing w:after="0"/>
        <w:tabs>
          <w:tab w:leader="none" w:pos="1220" w:val="left"/>
        </w:tabs>
        <w:numPr>
          <w:ilvl w:val="0"/>
          <w:numId w:val="21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number of Shares in respect of which any Option granted under the Scheme may be exercised;</w:t>
      </w:r>
    </w:p>
    <w:p>
      <w:pPr>
        <w:spacing w:after="0" w:line="213"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21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the price at which shares may be acquired by the exercise of any such Option;</w:t>
      </w:r>
    </w:p>
    <w:p>
      <w:pPr>
        <w:spacing w:after="0" w:line="213"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210"/>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where any such Option has been exercised but no Shares have been transferred pursuant to such exercise, the number of Shares which may be so transferred and the price at which they may be acquired.</w:t>
      </w:r>
    </w:p>
    <w:p>
      <w:pPr>
        <w:spacing w:after="0" w:line="211" w:lineRule="exact"/>
        <w:rPr>
          <w:sz w:val="20"/>
          <w:szCs w:val="20"/>
          <w:color w:val="auto"/>
        </w:rPr>
      </w:pPr>
    </w:p>
    <w:p>
      <w:pPr>
        <w:jc w:val="both"/>
        <w:ind w:left="740" w:right="20" w:hanging="736"/>
        <w:spacing w:after="0" w:line="239" w:lineRule="auto"/>
        <w:rPr>
          <w:sz w:val="20"/>
          <w:szCs w:val="20"/>
          <w:color w:val="auto"/>
        </w:rPr>
      </w:pPr>
      <w:r>
        <w:rPr>
          <w:rFonts w:ascii="Trebuchet MS" w:cs="Trebuchet MS" w:eastAsia="Trebuchet MS" w:hAnsi="Trebuchet MS"/>
          <w:sz w:val="20"/>
          <w:szCs w:val="20"/>
          <w:color w:val="auto"/>
        </w:rPr>
        <w:t>10.3 Except in the case of a capitalisation issue or variations to the Capital as a consequence of any sub-division or consolidation, no adjustment under Rule 10.2 above shall be made without the prior confirmation in writing by the Auditors or other share valuers to the Board that it is in their opinion fair and reasonable.</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20"/>
          <w:szCs w:val="20"/>
          <w:color w:val="auto"/>
        </w:rPr>
        <w:t>10.4 No adjustment under Rule 10.2 above shall be made</w:t>
      </w:r>
    </w:p>
    <w:p>
      <w:pPr>
        <w:spacing w:after="0" w:line="213" w:lineRule="exact"/>
        <w:rPr>
          <w:sz w:val="20"/>
          <w:szCs w:val="20"/>
          <w:color w:val="auto"/>
        </w:rPr>
      </w:pPr>
    </w:p>
    <w:p>
      <w:pPr>
        <w:ind w:left="1340" w:right="40" w:hanging="595"/>
        <w:spacing w:after="0"/>
        <w:tabs>
          <w:tab w:leader="none" w:pos="1227" w:val="left"/>
        </w:tabs>
        <w:numPr>
          <w:ilvl w:val="0"/>
          <w:numId w:val="211"/>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which would affect EMI Options which are Qualifying Options without the prior approval of HM Revenue and Customs if so required;</w:t>
      </w:r>
    </w:p>
    <w:p>
      <w:pPr>
        <w:spacing w:after="0" w:line="210" w:lineRule="exact"/>
        <w:rPr>
          <w:rFonts w:ascii="Trebuchet MS" w:cs="Trebuchet MS" w:eastAsia="Trebuchet MS" w:hAnsi="Trebuchet MS"/>
          <w:sz w:val="20"/>
          <w:szCs w:val="20"/>
          <w:color w:val="auto"/>
        </w:rPr>
      </w:pPr>
    </w:p>
    <w:p>
      <w:pPr>
        <w:ind w:left="1340" w:right="20" w:hanging="595"/>
        <w:spacing w:after="0"/>
        <w:tabs>
          <w:tab w:leader="none" w:pos="1227" w:val="left"/>
        </w:tabs>
        <w:numPr>
          <w:ilvl w:val="0"/>
          <w:numId w:val="211"/>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as a result of which the aggregate amount payable on the exercise of an Option in full would be materially increased or materially reduced.</w:t>
      </w:r>
    </w:p>
    <w:p>
      <w:pPr>
        <w:spacing w:after="0" w:line="211" w:lineRule="exact"/>
        <w:rPr>
          <w:sz w:val="20"/>
          <w:szCs w:val="20"/>
          <w:color w:val="auto"/>
        </w:rPr>
      </w:pPr>
    </w:p>
    <w:p>
      <w:pPr>
        <w:jc w:val="both"/>
        <w:ind w:left="740" w:hanging="736"/>
        <w:spacing w:after="0" w:line="253" w:lineRule="auto"/>
        <w:rPr>
          <w:sz w:val="20"/>
          <w:szCs w:val="20"/>
          <w:color w:val="auto"/>
        </w:rPr>
      </w:pPr>
      <w:r>
        <w:rPr>
          <w:rFonts w:ascii="Trebuchet MS" w:cs="Trebuchet MS" w:eastAsia="Trebuchet MS" w:hAnsi="Trebuchet MS"/>
          <w:sz w:val="19"/>
          <w:szCs w:val="19"/>
          <w:color w:val="auto"/>
        </w:rPr>
        <w:t>10.5 An adjustment under Rule 10.2 above may have the effect of reducing the price at which Shares may be acquired by the exercise of the Option to less than their nominal value, but only if and to the extent that the Board shall be authorised to capitalise from the reserves of the Company a sum equal to the amount by which the nominal value of the Shares in respect of which the Option is exercised and which are to be allotted pursuant to such exercise exceeds the price at which the same may be subscribed for, and to apply such sum in paying up such amount on such</w:t>
      </w:r>
    </w:p>
    <w:p>
      <w:pPr>
        <w:spacing w:after="0" w:line="20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8" w:name="page259"/>
    <w:bookmarkEnd w:id="258"/>
    <w:p>
      <w:pPr>
        <w:ind w:left="740"/>
        <w:spacing w:after="0"/>
        <w:rPr>
          <w:sz w:val="20"/>
          <w:szCs w:val="20"/>
          <w:color w:val="auto"/>
        </w:rPr>
      </w:pPr>
      <w:r>
        <w:rPr>
          <w:rFonts w:ascii="Trebuchet MS" w:cs="Trebuchet MS" w:eastAsia="Trebuchet MS" w:hAnsi="Trebuchet MS"/>
          <w:sz w:val="20"/>
          <w:szCs w:val="20"/>
          <w:color w:val="auto"/>
        </w:rPr>
        <w:t>Shares, and so that on exercise of any Option in respect of which such a reduction shall have been made, the Board shall capitalise such sum (if any) and apply the same in paying up such amount as aforesaid.</w:t>
      </w:r>
    </w:p>
    <w:p>
      <w:pPr>
        <w:spacing w:after="0" w:line="211" w:lineRule="exact"/>
        <w:rPr>
          <w:sz w:val="20"/>
          <w:szCs w:val="20"/>
          <w:color w:val="auto"/>
        </w:rPr>
      </w:pPr>
    </w:p>
    <w:p>
      <w:pPr>
        <w:ind w:left="740" w:right="40" w:hanging="736"/>
        <w:spacing w:after="0"/>
        <w:rPr>
          <w:sz w:val="20"/>
          <w:szCs w:val="20"/>
          <w:color w:val="auto"/>
        </w:rPr>
      </w:pPr>
      <w:r>
        <w:rPr>
          <w:rFonts w:ascii="Trebuchet MS" w:cs="Trebuchet MS" w:eastAsia="Trebuchet MS" w:hAnsi="Trebuchet MS"/>
          <w:sz w:val="20"/>
          <w:szCs w:val="20"/>
          <w:color w:val="auto"/>
        </w:rPr>
        <w:t>10.6 As soon as reasonably practicable after making any adjustment under Rule 10.2 above, the Board shall give notice in writing thereof to each Option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0" w:hanging="472"/>
        <w:spacing w:after="0"/>
        <w:tabs>
          <w:tab w:leader="none" w:pos="480" w:val="left"/>
        </w:tabs>
        <w:numPr>
          <w:ilvl w:val="0"/>
          <w:numId w:val="212"/>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ALTERATIONS TO THE RULES</w:t>
      </w:r>
    </w:p>
    <w:p>
      <w:pPr>
        <w:spacing w:after="0" w:line="221" w:lineRule="exact"/>
        <w:rPr>
          <w:sz w:val="20"/>
          <w:szCs w:val="20"/>
          <w:color w:val="auto"/>
        </w:rPr>
      </w:pPr>
    </w:p>
    <w:p>
      <w:pPr>
        <w:ind w:left="740" w:hanging="736"/>
        <w:spacing w:after="0"/>
        <w:rPr>
          <w:sz w:val="20"/>
          <w:szCs w:val="20"/>
          <w:color w:val="auto"/>
        </w:rPr>
      </w:pPr>
      <w:r>
        <w:rPr>
          <w:rFonts w:ascii="Trebuchet MS" w:cs="Trebuchet MS" w:eastAsia="Trebuchet MS" w:hAnsi="Trebuchet MS"/>
          <w:sz w:val="20"/>
          <w:szCs w:val="20"/>
          <w:color w:val="auto"/>
        </w:rPr>
        <w:t>11.1 The Board may by resolution at any time make any alteration to the Rules which it thinks fit subject to the provisions of this Rule 11.</w:t>
      </w:r>
    </w:p>
    <w:p>
      <w:pPr>
        <w:spacing w:after="0" w:line="211" w:lineRule="exact"/>
        <w:rPr>
          <w:sz w:val="20"/>
          <w:szCs w:val="20"/>
          <w:color w:val="auto"/>
        </w:rPr>
      </w:pPr>
    </w:p>
    <w:p>
      <w:pPr>
        <w:ind w:left="740" w:right="20" w:hanging="736"/>
        <w:spacing w:after="0"/>
        <w:rPr>
          <w:sz w:val="20"/>
          <w:szCs w:val="20"/>
          <w:color w:val="auto"/>
        </w:rPr>
      </w:pPr>
      <w:r>
        <w:rPr>
          <w:rFonts w:ascii="Trebuchet MS" w:cs="Trebuchet MS" w:eastAsia="Trebuchet MS" w:hAnsi="Trebuchet MS"/>
          <w:sz w:val="20"/>
          <w:szCs w:val="20"/>
          <w:color w:val="auto"/>
        </w:rPr>
        <w:t>11.2 No such alteration which would affect an EMI Option which is a Qualifying Option shall take effect if the result would be:</w:t>
      </w:r>
    </w:p>
    <w:p>
      <w:pPr>
        <w:spacing w:after="0" w:line="211" w:lineRule="exact"/>
        <w:rPr>
          <w:sz w:val="20"/>
          <w:szCs w:val="20"/>
          <w:color w:val="auto"/>
        </w:rPr>
      </w:pPr>
    </w:p>
    <w:p>
      <w:pPr>
        <w:ind w:left="1220" w:hanging="475"/>
        <w:spacing w:after="0"/>
        <w:tabs>
          <w:tab w:leader="none" w:pos="1220" w:val="left"/>
        </w:tabs>
        <w:numPr>
          <w:ilvl w:val="0"/>
          <w:numId w:val="213"/>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to increase the aggregate Market Value of the Shares that are the subject of such Qualifying Option; or</w:t>
      </w:r>
    </w:p>
    <w:p>
      <w:pPr>
        <w:spacing w:after="0" w:line="213" w:lineRule="exact"/>
        <w:rPr>
          <w:rFonts w:ascii="Trebuchet MS" w:cs="Trebuchet MS" w:eastAsia="Trebuchet MS" w:hAnsi="Trebuchet MS"/>
          <w:sz w:val="20"/>
          <w:szCs w:val="20"/>
          <w:color w:val="auto"/>
        </w:rPr>
      </w:pPr>
    </w:p>
    <w:p>
      <w:pPr>
        <w:ind w:left="1220" w:hanging="475"/>
        <w:spacing w:after="0"/>
        <w:tabs>
          <w:tab w:leader="none" w:pos="1220" w:val="left"/>
        </w:tabs>
        <w:numPr>
          <w:ilvl w:val="0"/>
          <w:numId w:val="213"/>
        </w:numPr>
        <w:rPr>
          <w:rFonts w:ascii="Trebuchet MS" w:cs="Trebuchet MS" w:eastAsia="Trebuchet MS" w:hAnsi="Trebuchet MS"/>
          <w:sz w:val="20"/>
          <w:szCs w:val="20"/>
          <w:color w:val="auto"/>
        </w:rPr>
      </w:pPr>
      <w:r>
        <w:rPr>
          <w:rFonts w:ascii="Trebuchet MS" w:cs="Trebuchet MS" w:eastAsia="Trebuchet MS" w:hAnsi="Trebuchet MS"/>
          <w:sz w:val="20"/>
          <w:szCs w:val="20"/>
          <w:color w:val="auto"/>
        </w:rPr>
        <w:t>that the requirements of Schedule 5 would cease to be met in relation to such EMI Option.</w:t>
      </w:r>
    </w:p>
    <w:p>
      <w:pPr>
        <w:spacing w:after="0" w:line="213" w:lineRule="exact"/>
        <w:rPr>
          <w:sz w:val="20"/>
          <w:szCs w:val="20"/>
          <w:color w:val="auto"/>
        </w:rPr>
      </w:pPr>
    </w:p>
    <w:p>
      <w:pPr>
        <w:jc w:val="both"/>
        <w:ind w:left="740" w:right="20" w:hanging="736"/>
        <w:spacing w:after="0" w:line="239" w:lineRule="auto"/>
        <w:rPr>
          <w:sz w:val="20"/>
          <w:szCs w:val="20"/>
          <w:color w:val="auto"/>
        </w:rPr>
      </w:pPr>
      <w:r>
        <w:rPr>
          <w:rFonts w:ascii="Trebuchet MS" w:cs="Trebuchet MS" w:eastAsia="Trebuchet MS" w:hAnsi="Trebuchet MS"/>
          <w:sz w:val="20"/>
          <w:szCs w:val="20"/>
          <w:color w:val="auto"/>
        </w:rPr>
        <w:t>11.3 No alteration shall be made which would materially increase the liability of any Option Holder or which would materially decrease the value of his subsisting rights attached to any Option without in each case that Option Holder’s prior written consent.</w:t>
      </w:r>
    </w:p>
    <w:p>
      <w:pPr>
        <w:spacing w:after="0" w:line="211" w:lineRule="exact"/>
        <w:rPr>
          <w:sz w:val="20"/>
          <w:szCs w:val="20"/>
          <w:color w:val="auto"/>
        </w:rPr>
      </w:pPr>
    </w:p>
    <w:p>
      <w:pPr>
        <w:jc w:val="both"/>
        <w:ind w:left="740" w:hanging="736"/>
        <w:spacing w:after="0" w:line="239" w:lineRule="auto"/>
        <w:rPr>
          <w:sz w:val="20"/>
          <w:szCs w:val="20"/>
          <w:color w:val="auto"/>
        </w:rPr>
      </w:pPr>
      <w:r>
        <w:rPr>
          <w:rFonts w:ascii="Trebuchet MS" w:cs="Trebuchet MS" w:eastAsia="Trebuchet MS" w:hAnsi="Trebuchet MS"/>
          <w:sz w:val="20"/>
          <w:szCs w:val="20"/>
          <w:color w:val="auto"/>
        </w:rPr>
        <w:t>11.4 Any alteration shall take effect without the requirement for the prior approval of the shareholders of the Company, except as otherwise required by applicable law and/or the rules of any securities exchange on which the Shares (or securities representing Shares) may be listed.</w:t>
      </w:r>
    </w:p>
    <w:p>
      <w:pPr>
        <w:spacing w:after="0" w:line="211" w:lineRule="exact"/>
        <w:rPr>
          <w:sz w:val="20"/>
          <w:szCs w:val="20"/>
          <w:color w:val="auto"/>
        </w:rPr>
      </w:pPr>
    </w:p>
    <w:p>
      <w:pPr>
        <w:ind w:left="740" w:right="40" w:hanging="736"/>
        <w:spacing w:after="0"/>
        <w:rPr>
          <w:sz w:val="20"/>
          <w:szCs w:val="20"/>
          <w:color w:val="auto"/>
        </w:rPr>
      </w:pPr>
      <w:r>
        <w:rPr>
          <w:rFonts w:ascii="Trebuchet MS" w:cs="Trebuchet MS" w:eastAsia="Trebuchet MS" w:hAnsi="Trebuchet MS"/>
          <w:sz w:val="20"/>
          <w:szCs w:val="20"/>
          <w:color w:val="auto"/>
        </w:rPr>
        <w:t>11.5 As soon as reasonably practicable after making any alteration under Rule 11.1 above the Board shall give notice in writing thereof to each Option Holder.</w:t>
      </w:r>
    </w:p>
    <w:p>
      <w:pPr>
        <w:spacing w:after="0" w:line="203" w:lineRule="exact"/>
        <w:rPr>
          <w:sz w:val="20"/>
          <w:szCs w:val="20"/>
          <w:color w:val="auto"/>
        </w:rPr>
      </w:pPr>
    </w:p>
    <w:p>
      <w:pPr>
        <w:ind w:left="480" w:hanging="472"/>
        <w:spacing w:after="0"/>
        <w:tabs>
          <w:tab w:leader="none" w:pos="480" w:val="left"/>
        </w:tabs>
        <w:numPr>
          <w:ilvl w:val="0"/>
          <w:numId w:val="214"/>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MISCELLANEOUS</w:t>
      </w:r>
    </w:p>
    <w:p>
      <w:pPr>
        <w:spacing w:after="0" w:line="221" w:lineRule="exact"/>
        <w:rPr>
          <w:sz w:val="20"/>
          <w:szCs w:val="20"/>
          <w:color w:val="auto"/>
        </w:rPr>
      </w:pPr>
    </w:p>
    <w:p>
      <w:pPr>
        <w:jc w:val="both"/>
        <w:ind w:left="740" w:hanging="736"/>
        <w:spacing w:after="0" w:line="238" w:lineRule="auto"/>
        <w:rPr>
          <w:sz w:val="20"/>
          <w:szCs w:val="20"/>
          <w:color w:val="auto"/>
        </w:rPr>
      </w:pPr>
      <w:r>
        <w:rPr>
          <w:rFonts w:ascii="Trebuchet MS" w:cs="Trebuchet MS" w:eastAsia="Trebuchet MS" w:hAnsi="Trebuchet MS"/>
          <w:sz w:val="20"/>
          <w:szCs w:val="20"/>
          <w:color w:val="auto"/>
        </w:rPr>
        <w:t>12.1 Any Option granted pursuant to the Rules shall not form part of the contract of employment of any person who participates in the Scheme. The rights and obligations of any individual under the terms of his office or employment with any Group Member shall not be affected by his participation in the Scheme or any right which he may have to participate therein, and an individual who participates therein shall waive any and all rights to compensation or damages in consequence of the termination of his office or employment for any reason whatsoever (including unfair or wrongful dismissal) insofar as those rights arise or may arise from his ceasing to have rights under or be entitled to exercise any Option under the Scheme as a result of such termination. No such participation, rights or benefits shall be taken into account for the purposes</w:t>
      </w:r>
    </w:p>
    <w:p>
      <w:pPr>
        <w:spacing w:after="0" w:line="210"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59" w:name="page260"/>
    <w:bookmarkEnd w:id="259"/>
    <w:p>
      <w:pPr>
        <w:ind w:left="740" w:right="20"/>
        <w:spacing w:after="0"/>
        <w:rPr>
          <w:sz w:val="20"/>
          <w:szCs w:val="20"/>
          <w:color w:val="auto"/>
        </w:rPr>
      </w:pPr>
      <w:r>
        <w:rPr>
          <w:rFonts w:ascii="Trebuchet MS" w:cs="Trebuchet MS" w:eastAsia="Trebuchet MS" w:hAnsi="Trebuchet MS"/>
          <w:sz w:val="20"/>
          <w:szCs w:val="20"/>
          <w:color w:val="auto"/>
        </w:rPr>
        <w:t>of calculating the amount payable to any pension fund. Options granted pursuant to the Scheme shall not constitute any representation or warranty that any benefit will accrue to any individual who is granted an Option.</w:t>
      </w:r>
    </w:p>
    <w:p>
      <w:pPr>
        <w:spacing w:after="0" w:line="211" w:lineRule="exact"/>
        <w:rPr>
          <w:sz w:val="20"/>
          <w:szCs w:val="20"/>
          <w:color w:val="auto"/>
        </w:rPr>
      </w:pPr>
    </w:p>
    <w:p>
      <w:pPr>
        <w:jc w:val="both"/>
        <w:ind w:left="740" w:hanging="736"/>
        <w:spacing w:after="0" w:line="238" w:lineRule="auto"/>
        <w:rPr>
          <w:sz w:val="20"/>
          <w:szCs w:val="20"/>
          <w:color w:val="auto"/>
        </w:rPr>
      </w:pPr>
      <w:r>
        <w:rPr>
          <w:rFonts w:ascii="Trebuchet MS" w:cs="Trebuchet MS" w:eastAsia="Trebuchet MS" w:hAnsi="Trebuchet MS"/>
          <w:sz w:val="20"/>
          <w:szCs w:val="20"/>
          <w:color w:val="auto"/>
        </w:rPr>
        <w:t>12.2 The Scheme shall in all respects be administered by the Board who may from time to time make and vary such rules and regulations for its conduct not inconsistent with these Rules and may from time to time establish such procedures for administration and implementation of the Scheme and Rules as it thinks fit, and in the event of any dispute or disagreement as to the interpretation of the Rules, or of any rule, regulation or procedure, or as to any question or right arising from or related to the Scheme, the decision of the Board shall be final and binding upon all persons (subject to the written concurrence of the Auditors having been obtained when so required by the Rules).</w:t>
      </w:r>
    </w:p>
    <w:p>
      <w:pPr>
        <w:spacing w:after="0" w:line="211" w:lineRule="exact"/>
        <w:rPr>
          <w:sz w:val="20"/>
          <w:szCs w:val="20"/>
          <w:color w:val="auto"/>
        </w:rPr>
      </w:pPr>
    </w:p>
    <w:p>
      <w:pPr>
        <w:jc w:val="both"/>
        <w:ind w:left="740" w:hanging="736"/>
        <w:spacing w:after="0" w:line="239" w:lineRule="auto"/>
        <w:rPr>
          <w:sz w:val="20"/>
          <w:szCs w:val="20"/>
          <w:color w:val="auto"/>
        </w:rPr>
      </w:pPr>
      <w:r>
        <w:rPr>
          <w:rFonts w:ascii="Trebuchet MS" w:cs="Trebuchet MS" w:eastAsia="Trebuchet MS" w:hAnsi="Trebuchet MS"/>
          <w:sz w:val="20"/>
          <w:szCs w:val="20"/>
          <w:color w:val="auto"/>
        </w:rPr>
        <w:t>12.3 Any Group Member may provide money to the trustees of any trust or any other person to enable them or him to acquire shares to be held for the purposes of the Scheme, or enter into any guarantee or indemnity for these purposes, to the extent permitted by the Companies Act 2006.</w:t>
      </w:r>
    </w:p>
    <w:p>
      <w:pPr>
        <w:spacing w:after="0" w:line="211" w:lineRule="exact"/>
        <w:rPr>
          <w:sz w:val="20"/>
          <w:szCs w:val="20"/>
          <w:color w:val="auto"/>
        </w:rPr>
      </w:pPr>
    </w:p>
    <w:p>
      <w:pPr>
        <w:jc w:val="both"/>
        <w:ind w:left="740" w:right="20" w:hanging="736"/>
        <w:spacing w:after="0"/>
        <w:rPr>
          <w:sz w:val="20"/>
          <w:szCs w:val="20"/>
          <w:color w:val="auto"/>
        </w:rPr>
      </w:pPr>
      <w:r>
        <w:rPr>
          <w:rFonts w:ascii="Trebuchet MS" w:cs="Trebuchet MS" w:eastAsia="Trebuchet MS" w:hAnsi="Trebuchet MS"/>
          <w:sz w:val="20"/>
          <w:szCs w:val="20"/>
          <w:color w:val="auto"/>
        </w:rPr>
        <w:t>12.4 In any matter in which they are required to act under the Rules, the Auditors shall be deemed to be acting as experts and not as arbitrators and the Arbitration Acts 1950 to 1996 shall not apply to these Rules.</w:t>
      </w:r>
    </w:p>
    <w:p>
      <w:pPr>
        <w:spacing w:after="0" w:line="211" w:lineRule="exact"/>
        <w:rPr>
          <w:sz w:val="20"/>
          <w:szCs w:val="20"/>
          <w:color w:val="auto"/>
        </w:rPr>
      </w:pPr>
    </w:p>
    <w:p>
      <w:pPr>
        <w:jc w:val="both"/>
        <w:ind w:left="740" w:hanging="736"/>
        <w:spacing w:after="0" w:line="252" w:lineRule="auto"/>
        <w:rPr>
          <w:sz w:val="20"/>
          <w:szCs w:val="20"/>
          <w:color w:val="auto"/>
        </w:rPr>
      </w:pPr>
      <w:r>
        <w:rPr>
          <w:rFonts w:ascii="Trebuchet MS" w:cs="Trebuchet MS" w:eastAsia="Trebuchet MS" w:hAnsi="Trebuchet MS"/>
          <w:sz w:val="19"/>
          <w:szCs w:val="19"/>
          <w:color w:val="auto"/>
        </w:rPr>
        <w:t>12.5 Any notice or other communication under or in connection with the Rules may be given by personal delivery or by sending the same by post, in the case of a company to its registered office and in the case of an individual to his last known address, or, where he is a director or employee of a Company participating in the Scheme, either to his last known address or to the address of the place of business at which he performs the whole or substantially the whole of the duties of his office or employment, and where a notice or other communication is given by first-class post, it shall be deemed to have been received 48 hours after it was put into the post properly addressed and stamped.</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20"/>
          <w:szCs w:val="20"/>
          <w:color w:val="auto"/>
        </w:rPr>
        <w:t>12.6 The costs of introducing and administering the Scheme shall be borne by the Company or any Group Member.</w:t>
      </w:r>
    </w:p>
    <w:p>
      <w:pPr>
        <w:spacing w:after="0" w:line="213" w:lineRule="exact"/>
        <w:rPr>
          <w:sz w:val="20"/>
          <w:szCs w:val="20"/>
          <w:color w:val="auto"/>
        </w:rPr>
      </w:pPr>
    </w:p>
    <w:p>
      <w:pPr>
        <w:spacing w:after="0"/>
        <w:rPr>
          <w:sz w:val="20"/>
          <w:szCs w:val="20"/>
          <w:color w:val="auto"/>
        </w:rPr>
      </w:pPr>
      <w:r>
        <w:rPr>
          <w:rFonts w:ascii="Trebuchet MS" w:cs="Trebuchet MS" w:eastAsia="Trebuchet MS" w:hAnsi="Trebuchet MS"/>
          <w:sz w:val="20"/>
          <w:szCs w:val="20"/>
          <w:color w:val="auto"/>
        </w:rPr>
        <w:t>12.7 The Board shall maintain all necessary books of account and records relating to the Scheme.</w:t>
      </w:r>
    </w:p>
    <w:p>
      <w:pPr>
        <w:spacing w:after="0" w:line="213" w:lineRule="exact"/>
        <w:rPr>
          <w:sz w:val="20"/>
          <w:szCs w:val="20"/>
          <w:color w:val="auto"/>
        </w:rPr>
      </w:pPr>
    </w:p>
    <w:p>
      <w:pPr>
        <w:jc w:val="both"/>
        <w:ind w:left="740" w:hanging="736"/>
        <w:spacing w:after="0" w:line="239" w:lineRule="auto"/>
        <w:rPr>
          <w:sz w:val="20"/>
          <w:szCs w:val="20"/>
          <w:color w:val="auto"/>
        </w:rPr>
      </w:pPr>
      <w:r>
        <w:rPr>
          <w:rFonts w:ascii="Trebuchet MS" w:cs="Trebuchet MS" w:eastAsia="Trebuchet MS" w:hAnsi="Trebuchet MS"/>
          <w:sz w:val="20"/>
          <w:szCs w:val="20"/>
          <w:color w:val="auto"/>
        </w:rPr>
        <w:t>12.8 Subject to the Articles of Association of the Company, an Option Holder who is a director of the Company may, notwithstanding his interest, vote on any resolution concerning the Scheme (other than in respect of his own participation therein) and may retain any benefits under the Scheme.</w:t>
      </w:r>
    </w:p>
    <w:p>
      <w:pPr>
        <w:spacing w:after="0" w:line="203" w:lineRule="exact"/>
        <w:rPr>
          <w:sz w:val="20"/>
          <w:szCs w:val="20"/>
          <w:color w:val="auto"/>
        </w:rPr>
      </w:pPr>
    </w:p>
    <w:p>
      <w:pPr>
        <w:ind w:left="480" w:hanging="472"/>
        <w:spacing w:after="0"/>
        <w:tabs>
          <w:tab w:leader="none" w:pos="480" w:val="left"/>
        </w:tabs>
        <w:numPr>
          <w:ilvl w:val="0"/>
          <w:numId w:val="215"/>
        </w:numPr>
        <w:rPr>
          <w:rFonts w:ascii="Trebuchet MS" w:cs="Trebuchet MS" w:eastAsia="Trebuchet MS" w:hAnsi="Trebuchet MS"/>
          <w:sz w:val="20"/>
          <w:szCs w:val="20"/>
          <w:b w:val="1"/>
          <w:bCs w:val="1"/>
          <w:color w:val="auto"/>
        </w:rPr>
      </w:pPr>
      <w:r>
        <w:rPr>
          <w:rFonts w:ascii="Trebuchet MS" w:cs="Trebuchet MS" w:eastAsia="Trebuchet MS" w:hAnsi="Trebuchet MS"/>
          <w:sz w:val="20"/>
          <w:szCs w:val="20"/>
          <w:b w:val="1"/>
          <w:bCs w:val="1"/>
          <w:u w:val="single" w:color="auto"/>
          <w:color w:val="auto"/>
        </w:rPr>
        <w:t>GOVERNING LAW</w:t>
      </w:r>
    </w:p>
    <w:p>
      <w:pPr>
        <w:spacing w:after="0" w:line="221" w:lineRule="exact"/>
        <w:rPr>
          <w:sz w:val="20"/>
          <w:szCs w:val="20"/>
          <w:color w:val="auto"/>
        </w:rPr>
      </w:pPr>
    </w:p>
    <w:p>
      <w:pPr>
        <w:ind w:left="740"/>
        <w:spacing w:after="0"/>
        <w:rPr>
          <w:sz w:val="20"/>
          <w:szCs w:val="20"/>
          <w:color w:val="auto"/>
        </w:rPr>
      </w:pPr>
      <w:r>
        <w:rPr>
          <w:rFonts w:ascii="Trebuchet MS" w:cs="Trebuchet MS" w:eastAsia="Trebuchet MS" w:hAnsi="Trebuchet MS"/>
          <w:sz w:val="20"/>
          <w:szCs w:val="20"/>
          <w:color w:val="auto"/>
        </w:rPr>
        <w:t>The Rules and the Scheme shall in all respects be governed by the laws of England.</w:t>
      </w:r>
    </w:p>
    <w:p>
      <w:pPr>
        <w:spacing w:after="0" w:line="213" w:lineRule="exact"/>
        <w:rPr>
          <w:sz w:val="20"/>
          <w:szCs w:val="20"/>
          <w:color w:val="auto"/>
        </w:rPr>
      </w:pPr>
    </w:p>
    <w:p>
      <w:pPr>
        <w:ind w:left="5520"/>
        <w:spacing w:after="0"/>
        <w:rPr>
          <w:sz w:val="20"/>
          <w:szCs w:val="20"/>
          <w:color w:val="auto"/>
        </w:rPr>
      </w:pPr>
      <w:r>
        <w:rPr>
          <w:rFonts w:ascii="Trebuchet MS" w:cs="Trebuchet MS" w:eastAsia="Trebuchet MS" w:hAnsi="Trebuchet MS"/>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60" w:name="page261"/>
    <w:bookmarkEnd w:id="260"/>
    <w:p>
      <w:pPr>
        <w:spacing w:after="0" w:line="251" w:lineRule="auto"/>
        <w:rPr>
          <w:sz w:val="20"/>
          <w:szCs w:val="20"/>
          <w:color w:val="auto"/>
        </w:rPr>
      </w:pPr>
      <w:r>
        <w:rPr>
          <w:rFonts w:ascii="Trebuchet MS" w:cs="Trebuchet MS" w:eastAsia="Trebuchet MS" w:hAnsi="Trebuchet MS"/>
          <w:sz w:val="20"/>
          <w:szCs w:val="20"/>
          <w:b w:val="1"/>
          <w:bCs w:val="1"/>
          <w:color w:val="auto"/>
        </w:rPr>
        <w:t>THIS IS THE SCHEDULE TO THE RULES OF THE NUCANA BIOMED LIMITED 2016 SHARE OPTION SCHEME (INCLUDING ENTERPRISE MANAGEMENT INCENTIVES &amp; US INCENTIVE STOCK OPTIONS)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420" w:val="left"/>
        </w:tabs>
        <w:rPr>
          <w:sz w:val="20"/>
          <w:szCs w:val="20"/>
          <w:color w:val="auto"/>
        </w:rPr>
      </w:pPr>
      <w:r>
        <w:rPr>
          <w:rFonts w:ascii="Trebuchet MS" w:cs="Trebuchet MS" w:eastAsia="Trebuchet MS" w:hAnsi="Trebuchet MS"/>
          <w:sz w:val="20"/>
          <w:szCs w:val="20"/>
          <w:b w:val="1"/>
          <w:bCs w:val="1"/>
          <w:color w:val="auto"/>
        </w:rPr>
        <w:t>SCHEDULE 1</w:t>
      </w:r>
      <w:r>
        <w:rPr>
          <w:sz w:val="20"/>
          <w:szCs w:val="20"/>
          <w:color w:val="auto"/>
        </w:rPr>
        <w:tab/>
      </w:r>
      <w:r>
        <w:rPr>
          <w:rFonts w:ascii="Trebuchet MS" w:cs="Trebuchet MS" w:eastAsia="Trebuchet MS" w:hAnsi="Trebuchet MS"/>
          <w:sz w:val="19"/>
          <w:szCs w:val="19"/>
          <w:b w:val="1"/>
          <w:bCs w:val="1"/>
          <w:color w:val="auto"/>
        </w:rPr>
        <w:t>LETTER OF INVITATION</w:t>
      </w:r>
    </w:p>
    <w:p>
      <w:pPr>
        <w:spacing w:after="0" w:line="22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1" w:name="page262"/>
    <w:bookmarkEnd w:id="261"/>
    <w:p>
      <w:pPr>
        <w:spacing w:after="0"/>
        <w:tabs>
          <w:tab w:leader="none" w:pos="1420" w:val="left"/>
        </w:tabs>
        <w:rPr>
          <w:sz w:val="20"/>
          <w:szCs w:val="20"/>
          <w:color w:val="auto"/>
        </w:rPr>
      </w:pPr>
      <w:r>
        <w:rPr>
          <w:rFonts w:ascii="Trebuchet MS" w:cs="Trebuchet MS" w:eastAsia="Trebuchet MS" w:hAnsi="Trebuchet MS"/>
          <w:sz w:val="20"/>
          <w:szCs w:val="20"/>
          <w:b w:val="1"/>
          <w:bCs w:val="1"/>
          <w:color w:val="auto"/>
        </w:rPr>
        <w:t>SCHEDULE 2</w:t>
      </w:r>
      <w:r>
        <w:rPr>
          <w:sz w:val="20"/>
          <w:szCs w:val="20"/>
          <w:color w:val="auto"/>
        </w:rPr>
        <w:tab/>
      </w:r>
      <w:r>
        <w:rPr>
          <w:rFonts w:ascii="Trebuchet MS" w:cs="Trebuchet MS" w:eastAsia="Trebuchet MS" w:hAnsi="Trebuchet MS"/>
          <w:sz w:val="19"/>
          <w:szCs w:val="19"/>
          <w:b w:val="1"/>
          <w:bCs w:val="1"/>
          <w:color w:val="auto"/>
        </w:rPr>
        <w:t>OPTION AGREEMENT</w:t>
      </w:r>
    </w:p>
    <w:p>
      <w:pPr>
        <w:spacing w:after="0" w:line="221" w:lineRule="exact"/>
        <w:rPr>
          <w:sz w:val="20"/>
          <w:szCs w:val="20"/>
          <w:color w:val="auto"/>
        </w:rPr>
      </w:pPr>
    </w:p>
    <w:p>
      <w:pPr>
        <w:jc w:val="right"/>
        <w:ind w:right="4419"/>
        <w:spacing w:after="0"/>
        <w:rPr>
          <w:sz w:val="20"/>
          <w:szCs w:val="20"/>
          <w:color w:val="auto"/>
        </w:rPr>
      </w:pPr>
      <w:r>
        <w:rPr>
          <w:rFonts w:ascii="Trebuchet MS" w:cs="Trebuchet MS" w:eastAsia="Trebuchet MS" w:hAnsi="Trebuchet MS"/>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8" w:right="1440" w:bottom="1440" w:gutter="0" w:footer="0" w:header="0"/>
        </w:sectPr>
      </w:pPr>
    </w:p>
    <w:bookmarkStart w:id="262" w:name="page263"/>
    <w:bookmarkEnd w:id="262"/>
    <w:p>
      <w:pPr>
        <w:spacing w:after="0"/>
        <w:tabs>
          <w:tab w:leader="none" w:pos="1420" w:val="left"/>
        </w:tabs>
        <w:rPr>
          <w:sz w:val="20"/>
          <w:szCs w:val="20"/>
          <w:color w:val="auto"/>
        </w:rPr>
      </w:pPr>
      <w:r>
        <w:rPr>
          <w:rFonts w:ascii="Trebuchet MS" w:cs="Trebuchet MS" w:eastAsia="Trebuchet MS" w:hAnsi="Trebuchet MS"/>
          <w:sz w:val="20"/>
          <w:szCs w:val="20"/>
          <w:b w:val="1"/>
          <w:bCs w:val="1"/>
          <w:color w:val="auto"/>
        </w:rPr>
        <w:t>SCHEDULE 3</w:t>
      </w:r>
      <w:r>
        <w:rPr>
          <w:sz w:val="20"/>
          <w:szCs w:val="20"/>
          <w:color w:val="auto"/>
        </w:rPr>
        <w:tab/>
      </w:r>
      <w:r>
        <w:rPr>
          <w:rFonts w:ascii="Trebuchet MS" w:cs="Trebuchet MS" w:eastAsia="Trebuchet MS" w:hAnsi="Trebuchet MS"/>
          <w:sz w:val="19"/>
          <w:szCs w:val="19"/>
          <w:b w:val="1"/>
          <w:bCs w:val="1"/>
          <w:color w:val="auto"/>
        </w:rPr>
        <w:t>INCENTIVE STOCK OPTIONS: US SUB-PLAN</w:t>
      </w:r>
    </w:p>
    <w:p>
      <w:pPr>
        <w:spacing w:after="0" w:line="213" w:lineRule="exact"/>
        <w:rPr>
          <w:sz w:val="20"/>
          <w:szCs w:val="20"/>
          <w:color w:val="auto"/>
        </w:rPr>
      </w:pPr>
    </w:p>
    <w:p>
      <w:pPr>
        <w:spacing w:after="0"/>
        <w:rPr>
          <w:sz w:val="20"/>
          <w:szCs w:val="20"/>
          <w:color w:val="auto"/>
        </w:rPr>
      </w:pPr>
      <w:r>
        <w:rPr>
          <w:rFonts w:ascii="Trebuchet MS" w:cs="Trebuchet MS" w:eastAsia="Trebuchet MS" w:hAnsi="Trebuchet MS"/>
          <w:sz w:val="20"/>
          <w:szCs w:val="20"/>
          <w:b w:val="1"/>
          <w:bCs w:val="1"/>
          <w:color w:val="auto"/>
        </w:rPr>
        <w:t>UNITED STATES SUB-PLAN TO THE NUCANA BIOMED LIMITED SHARE OPTION SCHEME</w:t>
      </w:r>
    </w:p>
    <w:p>
      <w:pPr>
        <w:spacing w:after="0" w:line="213" w:lineRule="exact"/>
        <w:rPr>
          <w:sz w:val="20"/>
          <w:szCs w:val="20"/>
          <w:color w:val="auto"/>
        </w:rPr>
      </w:pPr>
    </w:p>
    <w:p>
      <w:pPr>
        <w:ind w:left="1040" w:hanging="1032"/>
        <w:spacing w:after="0" w:line="241" w:lineRule="auto"/>
        <w:tabs>
          <w:tab w:leader="none" w:pos="408" w:val="left"/>
        </w:tabs>
        <w:numPr>
          <w:ilvl w:val="0"/>
          <w:numId w:val="216"/>
        </w:numPr>
        <w:rPr>
          <w:rFonts w:ascii="Arial" w:cs="Arial" w:eastAsia="Arial" w:hAnsi="Arial"/>
          <w:sz w:val="18"/>
          <w:szCs w:val="18"/>
          <w:color w:val="auto"/>
        </w:rPr>
      </w:pPr>
      <w:r>
        <w:rPr>
          <w:rFonts w:ascii="Trebuchet MS" w:cs="Trebuchet MS" w:eastAsia="Trebuchet MS" w:hAnsi="Trebuchet MS"/>
          <w:sz w:val="20"/>
          <w:szCs w:val="20"/>
          <w:color w:val="auto"/>
        </w:rPr>
        <w:t>The terms and conditions of this sub-plan (this “</w:t>
      </w:r>
      <w:r>
        <w:rPr>
          <w:rFonts w:ascii="Trebuchet MS" w:cs="Trebuchet MS" w:eastAsia="Trebuchet MS" w:hAnsi="Trebuchet MS"/>
          <w:sz w:val="20"/>
          <w:szCs w:val="20"/>
          <w:b w:val="1"/>
          <w:bCs w:val="1"/>
          <w:color w:val="auto"/>
        </w:rPr>
        <w:t>Sub-Plan</w:t>
      </w:r>
      <w:r>
        <w:rPr>
          <w:rFonts w:ascii="Trebuchet MS" w:cs="Trebuchet MS" w:eastAsia="Trebuchet MS" w:hAnsi="Trebuchet MS"/>
          <w:sz w:val="20"/>
          <w:szCs w:val="20"/>
          <w:color w:val="auto"/>
        </w:rPr>
        <w:t>”) shall apply to Options granted to Option Holders subject to taxation in the United States (“</w:t>
      </w:r>
      <w:r>
        <w:rPr>
          <w:rFonts w:ascii="Trebuchet MS" w:cs="Trebuchet MS" w:eastAsia="Trebuchet MS" w:hAnsi="Trebuchet MS"/>
          <w:sz w:val="20"/>
          <w:szCs w:val="20"/>
          <w:b w:val="1"/>
          <w:bCs w:val="1"/>
          <w:color w:val="auto"/>
        </w:rPr>
        <w:t>US Participants</w:t>
      </w:r>
      <w:r>
        <w:rPr>
          <w:rFonts w:ascii="Trebuchet MS" w:cs="Trebuchet MS" w:eastAsia="Trebuchet MS" w:hAnsi="Trebuchet MS"/>
          <w:sz w:val="20"/>
          <w:szCs w:val="20"/>
          <w:color w:val="auto"/>
        </w:rPr>
        <w:t>”). The terms and conditions provided herein shall apply in addition to, or instead of where inconsistent with, the terms and conditions of the 2016 NuCana BioMed Limited Share Option Scheme (as amended and/or restated from time to time, the “</w:t>
      </w:r>
      <w:r>
        <w:rPr>
          <w:rFonts w:ascii="Trebuchet MS" w:cs="Trebuchet MS" w:eastAsia="Trebuchet MS" w:hAnsi="Trebuchet MS"/>
          <w:sz w:val="20"/>
          <w:szCs w:val="20"/>
          <w:b w:val="1"/>
          <w:bCs w:val="1"/>
          <w:color w:val="auto"/>
        </w:rPr>
        <w:t>Scheme</w:t>
      </w:r>
      <w:r>
        <w:rPr>
          <w:rFonts w:ascii="Trebuchet MS" w:cs="Trebuchet MS" w:eastAsia="Trebuchet MS" w:hAnsi="Trebuchet MS"/>
          <w:sz w:val="20"/>
          <w:szCs w:val="20"/>
          <w:color w:val="auto"/>
        </w:rPr>
        <w:t>”).</w:t>
      </w:r>
    </w:p>
    <w:p>
      <w:pPr>
        <w:spacing w:after="0" w:line="195"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Trebuchet MS" w:cs="Trebuchet MS" w:eastAsia="Trebuchet MS" w:hAnsi="Trebuchet MS"/>
          <w:sz w:val="20"/>
          <w:szCs w:val="20"/>
          <w:color w:val="auto"/>
        </w:rPr>
        <w:t>Capitalized terms used but not defined in this Sub-Plan shall have the meanings set forth in the Scheme.</w:t>
      </w:r>
    </w:p>
    <w:p>
      <w:pPr>
        <w:spacing w:after="0" w:line="186"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Trebuchet MS" w:cs="Trebuchet MS" w:eastAsia="Trebuchet MS" w:hAnsi="Trebuchet MS"/>
          <w:sz w:val="20"/>
          <w:szCs w:val="20"/>
          <w:color w:val="auto"/>
        </w:rPr>
        <w:t>For purpose of this Sub-Plan, the following terms shall have the meanings set forth below:</w:t>
      </w:r>
    </w:p>
    <w:p>
      <w:pPr>
        <w:spacing w:after="0" w:line="200" w:lineRule="exact"/>
        <w:rPr>
          <w:sz w:val="20"/>
          <w:szCs w:val="20"/>
          <w:color w:val="auto"/>
        </w:rPr>
      </w:pPr>
    </w:p>
    <w:p>
      <w:pPr>
        <w:jc w:val="both"/>
        <w:ind w:left="2080" w:hanging="928"/>
        <w:spacing w:after="0" w:line="251" w:lineRule="auto"/>
        <w:rPr>
          <w:sz w:val="20"/>
          <w:szCs w:val="20"/>
          <w:color w:val="auto"/>
        </w:rPr>
      </w:pPr>
      <w:r>
        <w:rPr>
          <w:rFonts w:ascii="Arial" w:cs="Arial" w:eastAsia="Arial" w:hAnsi="Arial"/>
          <w:sz w:val="18"/>
          <w:szCs w:val="18"/>
          <w:color w:val="auto"/>
        </w:rPr>
        <w:t xml:space="preserve">3.1. </w:t>
      </w:r>
      <w:r>
        <w:rPr>
          <w:rFonts w:ascii="Trebuchet MS" w:cs="Trebuchet MS" w:eastAsia="Trebuchet MS" w:hAnsi="Trebuchet MS"/>
          <w:sz w:val="19"/>
          <w:szCs w:val="19"/>
          <w:color w:val="auto"/>
        </w:rPr>
        <w:t>“</w:t>
      </w:r>
      <w:r>
        <w:rPr>
          <w:rFonts w:ascii="Trebuchet MS" w:cs="Trebuchet MS" w:eastAsia="Trebuchet MS" w:hAnsi="Trebuchet MS"/>
          <w:sz w:val="19"/>
          <w:szCs w:val="19"/>
          <w:i w:val="1"/>
          <w:iCs w:val="1"/>
          <w:color w:val="auto"/>
        </w:rPr>
        <w:t>Fair Market Value</w:t>
      </w:r>
      <w:r>
        <w:rPr>
          <w:rFonts w:ascii="Trebuchet MS" w:cs="Trebuchet MS" w:eastAsia="Trebuchet MS" w:hAnsi="Trebuchet MS"/>
          <w:sz w:val="19"/>
          <w:szCs w:val="19"/>
          <w:color w:val="auto"/>
        </w:rPr>
        <w:t>” means, on any given date (i) if the Shares are listed on any established stock exchange</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 xml:space="preserve">or a national market system, including without limitation the NASDAQ Global Market, the NASDAQ Global Select Market or the NASDAQ Capital Market, the closing sales price for such Shares as quoted on such exchange or system on the day of determination, as reported in </w:t>
      </w:r>
      <w:r>
        <w:rPr>
          <w:rFonts w:ascii="Trebuchet MS" w:cs="Trebuchet MS" w:eastAsia="Trebuchet MS" w:hAnsi="Trebuchet MS"/>
          <w:sz w:val="19"/>
          <w:szCs w:val="19"/>
          <w:i w:val="1"/>
          <w:iCs w:val="1"/>
          <w:color w:val="auto"/>
        </w:rPr>
        <w:t>The Wall Street Journal</w:t>
      </w:r>
      <w:r>
        <w:rPr>
          <w:rFonts w:ascii="Trebuchet MS" w:cs="Trebuchet MS" w:eastAsia="Trebuchet MS" w:hAnsi="Trebuchet MS"/>
          <w:sz w:val="19"/>
          <w:szCs w:val="19"/>
          <w:color w:val="auto"/>
        </w:rPr>
        <w:t xml:space="preserve"> or such other source as the Board deems reliable (or, if no closing sales price was reported on that date, on the last trading date such closing sales price was reported); (ii) if (i) does not apply, then if the Shares are regularly quoted by a recognized securities dealer but selling prices are not reported, the mean between the high bid and low asked prices for the Shares on the day of determination (or, if no bids and asks were reported on that date, on the last trading date such bids and asks were reported); or (iii) if (i) and (ii) do not apply, such value as the Board in its discretion may in good faith determine in accordance with Section 409A of the US Code and the regulations thereunder (and, with respect to Incentive Stock Options, in accordance with Section 422 of the US Code and the regulations thereunder).</w:t>
      </w:r>
    </w:p>
    <w:p>
      <w:pPr>
        <w:spacing w:after="0" w:line="200" w:lineRule="exact"/>
        <w:rPr>
          <w:sz w:val="20"/>
          <w:szCs w:val="20"/>
          <w:color w:val="auto"/>
        </w:rPr>
      </w:pPr>
    </w:p>
    <w:p>
      <w:pPr>
        <w:spacing w:after="0" w:line="217" w:lineRule="exact"/>
        <w:rPr>
          <w:sz w:val="20"/>
          <w:szCs w:val="20"/>
          <w:color w:val="auto"/>
        </w:rPr>
      </w:pPr>
    </w:p>
    <w:p>
      <w:pPr>
        <w:jc w:val="both"/>
        <w:ind w:left="2080" w:hanging="928"/>
        <w:spacing w:after="0" w:line="253" w:lineRule="auto"/>
        <w:rPr>
          <w:sz w:val="20"/>
          <w:szCs w:val="20"/>
          <w:color w:val="auto"/>
        </w:rPr>
      </w:pPr>
      <w:r>
        <w:rPr>
          <w:rFonts w:ascii="Arial" w:cs="Arial" w:eastAsia="Arial" w:hAnsi="Arial"/>
          <w:sz w:val="18"/>
          <w:szCs w:val="18"/>
          <w:color w:val="auto"/>
        </w:rPr>
        <w:t xml:space="preserve">3.2. </w:t>
      </w:r>
      <w:r>
        <w:rPr>
          <w:rFonts w:ascii="Trebuchet MS" w:cs="Trebuchet MS" w:eastAsia="Trebuchet MS" w:hAnsi="Trebuchet MS"/>
          <w:sz w:val="19"/>
          <w:szCs w:val="19"/>
          <w:color w:val="auto"/>
        </w:rPr>
        <w:t>“</w:t>
      </w:r>
      <w:r>
        <w:rPr>
          <w:rFonts w:ascii="Trebuchet MS" w:cs="Trebuchet MS" w:eastAsia="Trebuchet MS" w:hAnsi="Trebuchet MS"/>
          <w:sz w:val="19"/>
          <w:szCs w:val="19"/>
          <w:i w:val="1"/>
          <w:iCs w:val="1"/>
          <w:color w:val="auto"/>
        </w:rPr>
        <w:t>Incentive Stock Option</w:t>
      </w:r>
      <w:r>
        <w:rPr>
          <w:rFonts w:ascii="Trebuchet MS" w:cs="Trebuchet MS" w:eastAsia="Trebuchet MS" w:hAnsi="Trebuchet MS"/>
          <w:sz w:val="19"/>
          <w:szCs w:val="19"/>
          <w:color w:val="auto"/>
        </w:rPr>
        <w:t>” means an Option or portion thereof intended to meet the requirements of an</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incentive stock option as defined in US Code Section 422 and designated as an Incentive Stock Option in the applicable Option Agreement, and if the Board does not designate an Option as an Incentive Stock Option in the Option Agreement, the terms of the Option Agreement for such Option hereby provide that the Option will not be treated as an Incentive Stock Option under US Code Section 422.</w:t>
      </w:r>
    </w:p>
    <w:p>
      <w:pPr>
        <w:spacing w:after="0" w:line="174"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3" w:name="page264"/>
    <w:bookmarkEnd w:id="263"/>
    <w:p>
      <w:pPr>
        <w:jc w:val="both"/>
        <w:ind w:left="2080" w:hanging="928"/>
        <w:spacing w:after="0" w:line="257" w:lineRule="auto"/>
        <w:rPr>
          <w:sz w:val="20"/>
          <w:szCs w:val="20"/>
          <w:color w:val="auto"/>
        </w:rPr>
      </w:pPr>
      <w:r>
        <w:rPr>
          <w:rFonts w:ascii="Arial" w:cs="Arial" w:eastAsia="Arial" w:hAnsi="Arial"/>
          <w:sz w:val="18"/>
          <w:szCs w:val="18"/>
          <w:color w:val="auto"/>
        </w:rPr>
        <w:t xml:space="preserve">3.3. </w:t>
      </w:r>
      <w:r>
        <w:rPr>
          <w:rFonts w:ascii="Trebuchet MS" w:cs="Trebuchet MS" w:eastAsia="Trebuchet MS" w:hAnsi="Trebuchet MS"/>
          <w:sz w:val="19"/>
          <w:szCs w:val="19"/>
          <w:color w:val="auto"/>
        </w:rPr>
        <w:t>“</w:t>
      </w:r>
      <w:r>
        <w:rPr>
          <w:rFonts w:ascii="Trebuchet MS" w:cs="Trebuchet MS" w:eastAsia="Trebuchet MS" w:hAnsi="Trebuchet MS"/>
          <w:sz w:val="19"/>
          <w:szCs w:val="19"/>
          <w:i w:val="1"/>
          <w:iCs w:val="1"/>
          <w:color w:val="auto"/>
        </w:rPr>
        <w:t>Non-Qualified Option</w:t>
      </w:r>
      <w:r>
        <w:rPr>
          <w:rFonts w:ascii="Trebuchet MS" w:cs="Trebuchet MS" w:eastAsia="Trebuchet MS" w:hAnsi="Trebuchet MS"/>
          <w:sz w:val="19"/>
          <w:szCs w:val="19"/>
          <w:color w:val="auto"/>
        </w:rPr>
        <w:t>” means an Option or portion thereof that does not qualify as or is not intended to be</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an Incentive Stock Option or that is not designated as an Incentive Stock Option in the applicable Option Agreement.</w:t>
      </w:r>
    </w:p>
    <w:p>
      <w:pPr>
        <w:spacing w:after="0" w:line="182" w:lineRule="exact"/>
        <w:rPr>
          <w:sz w:val="20"/>
          <w:szCs w:val="20"/>
          <w:color w:val="auto"/>
        </w:rPr>
      </w:pPr>
    </w:p>
    <w:p>
      <w:pPr>
        <w:jc w:val="both"/>
        <w:ind w:left="2080" w:hanging="928"/>
        <w:spacing w:after="0" w:line="255" w:lineRule="auto"/>
        <w:rPr>
          <w:sz w:val="20"/>
          <w:szCs w:val="20"/>
          <w:color w:val="auto"/>
        </w:rPr>
      </w:pPr>
      <w:r>
        <w:rPr>
          <w:rFonts w:ascii="Arial" w:cs="Arial" w:eastAsia="Arial" w:hAnsi="Arial"/>
          <w:sz w:val="18"/>
          <w:szCs w:val="18"/>
          <w:color w:val="auto"/>
        </w:rPr>
        <w:t xml:space="preserve">3.4. </w:t>
      </w:r>
      <w:r>
        <w:rPr>
          <w:rFonts w:ascii="Trebuchet MS" w:cs="Trebuchet MS" w:eastAsia="Trebuchet MS" w:hAnsi="Trebuchet MS"/>
          <w:sz w:val="19"/>
          <w:szCs w:val="19"/>
          <w:color w:val="auto"/>
        </w:rPr>
        <w:t>“</w:t>
      </w:r>
      <w:r>
        <w:rPr>
          <w:rFonts w:ascii="Trebuchet MS" w:cs="Trebuchet MS" w:eastAsia="Trebuchet MS" w:hAnsi="Trebuchet MS"/>
          <w:sz w:val="19"/>
          <w:szCs w:val="19"/>
          <w:i w:val="1"/>
          <w:iCs w:val="1"/>
          <w:color w:val="auto"/>
        </w:rPr>
        <w:t>Ten Percent Shareholder</w:t>
      </w:r>
      <w:r>
        <w:rPr>
          <w:rFonts w:ascii="Trebuchet MS" w:cs="Trebuchet MS" w:eastAsia="Trebuchet MS" w:hAnsi="Trebuchet MS"/>
          <w:sz w:val="19"/>
          <w:szCs w:val="19"/>
          <w:color w:val="auto"/>
        </w:rPr>
        <w:t>” means an individual who on any given date owns, either directly or indirectly</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(taking into account the attribution rules contained in US Code Section 424(d)), stock possessing more than 10% of the total combined voting power of all classes of stock of the Company or a “parent” or “subsidiary” company (within the meaning of US Code Section 424).</w:t>
      </w:r>
    </w:p>
    <w:p>
      <w:pPr>
        <w:spacing w:after="0" w:line="169" w:lineRule="exact"/>
        <w:rPr>
          <w:sz w:val="20"/>
          <w:szCs w:val="20"/>
          <w:color w:val="auto"/>
        </w:rPr>
      </w:pPr>
    </w:p>
    <w:p>
      <w:pPr>
        <w:jc w:val="both"/>
        <w:ind w:left="2080" w:hanging="928"/>
        <w:spacing w:after="0" w:line="266" w:lineRule="auto"/>
        <w:rPr>
          <w:sz w:val="20"/>
          <w:szCs w:val="20"/>
          <w:color w:val="auto"/>
        </w:rPr>
      </w:pPr>
      <w:r>
        <w:rPr>
          <w:rFonts w:ascii="Arial" w:cs="Arial" w:eastAsia="Arial" w:hAnsi="Arial"/>
          <w:sz w:val="18"/>
          <w:szCs w:val="18"/>
          <w:color w:val="auto"/>
        </w:rPr>
        <w:t xml:space="preserve">3.5. </w:t>
      </w:r>
      <w:r>
        <w:rPr>
          <w:rFonts w:ascii="Trebuchet MS" w:cs="Trebuchet MS" w:eastAsia="Trebuchet MS" w:hAnsi="Trebuchet MS"/>
          <w:sz w:val="19"/>
          <w:szCs w:val="19"/>
          <w:color w:val="auto"/>
        </w:rPr>
        <w:t>“</w:t>
      </w:r>
      <w:r>
        <w:rPr>
          <w:rFonts w:ascii="Trebuchet MS" w:cs="Trebuchet MS" w:eastAsia="Trebuchet MS" w:hAnsi="Trebuchet MS"/>
          <w:sz w:val="19"/>
          <w:szCs w:val="19"/>
          <w:i w:val="1"/>
          <w:iCs w:val="1"/>
          <w:color w:val="auto"/>
        </w:rPr>
        <w:t>US Code</w:t>
      </w:r>
      <w:r>
        <w:rPr>
          <w:rFonts w:ascii="Trebuchet MS" w:cs="Trebuchet MS" w:eastAsia="Trebuchet MS" w:hAnsi="Trebuchet MS"/>
          <w:sz w:val="19"/>
          <w:szCs w:val="19"/>
          <w:color w:val="auto"/>
        </w:rPr>
        <w:t>” means the US Internal Revenue Code of 1986, as amended, and the rules and regulations</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promulgated thereunder.</w:t>
      </w:r>
    </w:p>
    <w:p>
      <w:pPr>
        <w:spacing w:after="0" w:line="172" w:lineRule="exact"/>
        <w:rPr>
          <w:sz w:val="20"/>
          <w:szCs w:val="20"/>
          <w:color w:val="auto"/>
        </w:rPr>
      </w:pPr>
    </w:p>
    <w:p>
      <w:pPr>
        <w:jc w:val="both"/>
        <w:ind w:left="1600" w:hanging="928"/>
        <w:spacing w:after="0"/>
        <w:tabs>
          <w:tab w:leader="none" w:pos="1580" w:val="left"/>
        </w:tabs>
        <w:rPr>
          <w:sz w:val="20"/>
          <w:szCs w:val="20"/>
          <w:color w:val="auto"/>
        </w:rPr>
      </w:pPr>
      <w:r>
        <w:rPr>
          <w:rFonts w:ascii="Arial" w:cs="Arial" w:eastAsia="Arial" w:hAnsi="Arial"/>
          <w:sz w:val="18"/>
          <w:szCs w:val="18"/>
          <w:color w:val="auto"/>
        </w:rPr>
        <w:t>3.6.</w:t>
      </w:r>
      <w:r>
        <w:rPr>
          <w:sz w:val="20"/>
          <w:szCs w:val="20"/>
          <w:color w:val="auto"/>
        </w:rPr>
        <w:tab/>
      </w:r>
      <w:r>
        <w:rPr>
          <w:rFonts w:ascii="Trebuchet MS" w:cs="Trebuchet MS" w:eastAsia="Trebuchet MS" w:hAnsi="Trebuchet MS"/>
          <w:sz w:val="20"/>
          <w:szCs w:val="20"/>
          <w:color w:val="auto"/>
        </w:rPr>
        <w:t>“</w:t>
      </w:r>
      <w:r>
        <w:rPr>
          <w:rFonts w:ascii="Trebuchet MS" w:cs="Trebuchet MS" w:eastAsia="Trebuchet MS" w:hAnsi="Trebuchet MS"/>
          <w:sz w:val="20"/>
          <w:szCs w:val="20"/>
          <w:i w:val="1"/>
          <w:iCs w:val="1"/>
          <w:color w:val="auto"/>
        </w:rPr>
        <w:t>US Exchange Act</w:t>
      </w:r>
      <w:r>
        <w:rPr>
          <w:rFonts w:ascii="Trebuchet MS" w:cs="Trebuchet MS" w:eastAsia="Trebuchet MS" w:hAnsi="Trebuchet MS"/>
          <w:sz w:val="20"/>
          <w:szCs w:val="20"/>
          <w:color w:val="auto"/>
        </w:rPr>
        <w:t>” means the US Securities Exchange Act of 1934, as amended, and the rules and regulations promulgated thereunder.</w:t>
      </w:r>
    </w:p>
    <w:p>
      <w:pPr>
        <w:spacing w:after="0" w:line="197" w:lineRule="exact"/>
        <w:rPr>
          <w:sz w:val="20"/>
          <w:szCs w:val="20"/>
          <w:color w:val="auto"/>
        </w:rPr>
      </w:pPr>
    </w:p>
    <w:p>
      <w:pPr>
        <w:ind w:left="1040" w:hanging="1032"/>
        <w:spacing w:after="0" w:line="239" w:lineRule="auto"/>
        <w:tabs>
          <w:tab w:leader="none" w:pos="408" w:val="left"/>
        </w:tabs>
        <w:numPr>
          <w:ilvl w:val="0"/>
          <w:numId w:val="217"/>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Eligibility</w:t>
      </w:r>
      <w:r>
        <w:rPr>
          <w:rFonts w:ascii="Trebuchet MS" w:cs="Trebuchet MS" w:eastAsia="Trebuchet MS" w:hAnsi="Trebuchet MS"/>
          <w:sz w:val="20"/>
          <w:szCs w:val="20"/>
          <w:color w:val="auto"/>
        </w:rPr>
        <w:t>. An individual who is subject to US Code Section 409A will not be an Eligible Employee unless he or she is an employee of, or a director to, the Company or a Qualifying Subsidiary in which the Company has a “controlling interest” (for purposes of US Code Section 409A).</w:t>
      </w:r>
    </w:p>
    <w:p>
      <w:pPr>
        <w:spacing w:after="0" w:line="183" w:lineRule="exact"/>
        <w:rPr>
          <w:rFonts w:ascii="Arial" w:cs="Arial" w:eastAsia="Arial" w:hAnsi="Arial"/>
          <w:sz w:val="18"/>
          <w:szCs w:val="18"/>
          <w:color w:val="auto"/>
        </w:rPr>
      </w:pPr>
    </w:p>
    <w:p>
      <w:pPr>
        <w:ind w:left="1040" w:hanging="1032"/>
        <w:spacing w:after="0" w:line="238" w:lineRule="auto"/>
        <w:tabs>
          <w:tab w:leader="none" w:pos="408" w:val="left"/>
        </w:tabs>
        <w:numPr>
          <w:ilvl w:val="0"/>
          <w:numId w:val="217"/>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Options</w:t>
      </w:r>
      <w:r>
        <w:rPr>
          <w:rFonts w:ascii="Trebuchet MS" w:cs="Trebuchet MS" w:eastAsia="Trebuchet MS" w:hAnsi="Trebuchet MS"/>
          <w:sz w:val="20"/>
          <w:szCs w:val="20"/>
          <w:color w:val="auto"/>
        </w:rPr>
        <w:t>. The Option Price per Share of an Option granted to a US Participant shall not be less than the Fair Market Value of a Share underlying the Option on the grant date and the maximum number of Shares issuable to any US Participant upon the exercise of an Option shall not exceed 5,008,284 Shares in any fiscal year, subject to adjustment as provided in Rule 10 of the Scheme. The “Date of Grant” of an Option granted to a US Participant shall be the date on which such Option was approved by the Board.</w:t>
      </w:r>
    </w:p>
    <w:p>
      <w:pPr>
        <w:spacing w:after="0" w:line="198" w:lineRule="exact"/>
        <w:rPr>
          <w:rFonts w:ascii="Arial" w:cs="Arial" w:eastAsia="Arial" w:hAnsi="Arial"/>
          <w:sz w:val="18"/>
          <w:szCs w:val="18"/>
          <w:color w:val="auto"/>
        </w:rPr>
      </w:pPr>
    </w:p>
    <w:p>
      <w:pPr>
        <w:ind w:left="1040" w:right="20" w:hanging="1032"/>
        <w:spacing w:after="0"/>
        <w:tabs>
          <w:tab w:leader="none" w:pos="422" w:val="left"/>
        </w:tabs>
        <w:numPr>
          <w:ilvl w:val="0"/>
          <w:numId w:val="217"/>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Incentive Stock Options</w:t>
      </w:r>
      <w:r>
        <w:rPr>
          <w:rFonts w:ascii="Trebuchet MS" w:cs="Trebuchet MS" w:eastAsia="Trebuchet MS" w:hAnsi="Trebuchet MS"/>
          <w:sz w:val="20"/>
          <w:szCs w:val="20"/>
          <w:color w:val="auto"/>
        </w:rPr>
        <w:t>. The following conditions apply to awards of Incentive Stock Options in addition to or, where inconsistent, in lieu of those described in the Scheme:</w:t>
      </w:r>
    </w:p>
    <w:p>
      <w:pPr>
        <w:spacing w:after="0" w:line="197" w:lineRule="exact"/>
        <w:rPr>
          <w:sz w:val="20"/>
          <w:szCs w:val="20"/>
          <w:color w:val="auto"/>
        </w:rPr>
      </w:pPr>
    </w:p>
    <w:p>
      <w:pPr>
        <w:jc w:val="both"/>
        <w:ind w:left="2080" w:hanging="928"/>
        <w:spacing w:after="0"/>
        <w:rPr>
          <w:sz w:val="20"/>
          <w:szCs w:val="20"/>
          <w:color w:val="auto"/>
        </w:rPr>
      </w:pPr>
      <w:r>
        <w:rPr>
          <w:rFonts w:ascii="Arial" w:cs="Arial" w:eastAsia="Arial" w:hAnsi="Arial"/>
          <w:sz w:val="18"/>
          <w:szCs w:val="18"/>
          <w:color w:val="auto"/>
        </w:rPr>
        <w:t xml:space="preserve">6.1. </w:t>
      </w:r>
      <w:r>
        <w:rPr>
          <w:rFonts w:ascii="Trebuchet MS" w:cs="Trebuchet MS" w:eastAsia="Trebuchet MS" w:hAnsi="Trebuchet MS"/>
          <w:sz w:val="19"/>
          <w:szCs w:val="19"/>
          <w:u w:val="single" w:color="auto"/>
          <w:color w:val="auto"/>
        </w:rPr>
        <w:t>Eligibility</w:t>
      </w:r>
      <w:r>
        <w:rPr>
          <w:rFonts w:ascii="Trebuchet MS" w:cs="Trebuchet MS" w:eastAsia="Trebuchet MS" w:hAnsi="Trebuchet MS"/>
          <w:sz w:val="19"/>
          <w:szCs w:val="19"/>
          <w:color w:val="auto"/>
        </w:rPr>
        <w:t>.</w:t>
      </w:r>
      <w:r>
        <w:rPr>
          <w:sz w:val="20"/>
          <w:szCs w:val="20"/>
          <w:color w:val="auto"/>
        </w:rPr>
        <w:t xml:space="preserve"> </w:t>
      </w:r>
      <w:r>
        <w:rPr>
          <w:rFonts w:ascii="Trebuchet MS" w:cs="Trebuchet MS" w:eastAsia="Trebuchet MS" w:hAnsi="Trebuchet MS"/>
          <w:sz w:val="20"/>
          <w:szCs w:val="20"/>
          <w:color w:val="auto"/>
        </w:rPr>
        <w:t>Incentive Stock Options may be granted only to US Participants who are employees of the Company or any of its “parent” or “subsidiary” companies (within the meaning of US Code Section 424).</w:t>
      </w:r>
    </w:p>
    <w:p>
      <w:pPr>
        <w:spacing w:after="0" w:line="200" w:lineRule="exact"/>
        <w:rPr>
          <w:sz w:val="20"/>
          <w:szCs w:val="20"/>
          <w:color w:val="auto"/>
        </w:rPr>
      </w:pPr>
    </w:p>
    <w:p>
      <w:pPr>
        <w:spacing w:after="0" w:line="213" w:lineRule="exact"/>
        <w:rPr>
          <w:sz w:val="20"/>
          <w:szCs w:val="20"/>
          <w:color w:val="auto"/>
        </w:rPr>
      </w:pPr>
    </w:p>
    <w:p>
      <w:pPr>
        <w:jc w:val="both"/>
        <w:ind w:left="2080" w:hanging="928"/>
        <w:spacing w:after="0" w:line="257" w:lineRule="auto"/>
        <w:rPr>
          <w:sz w:val="20"/>
          <w:szCs w:val="20"/>
          <w:color w:val="auto"/>
        </w:rPr>
      </w:pPr>
      <w:r>
        <w:rPr>
          <w:rFonts w:ascii="Arial" w:cs="Arial" w:eastAsia="Arial" w:hAnsi="Arial"/>
          <w:sz w:val="18"/>
          <w:szCs w:val="18"/>
          <w:color w:val="auto"/>
        </w:rPr>
        <w:t xml:space="preserve">6.2. </w:t>
      </w:r>
      <w:r>
        <w:rPr>
          <w:rFonts w:ascii="Trebuchet MS" w:cs="Trebuchet MS" w:eastAsia="Trebuchet MS" w:hAnsi="Trebuchet MS"/>
          <w:sz w:val="19"/>
          <w:szCs w:val="19"/>
          <w:u w:val="single" w:color="auto"/>
          <w:color w:val="auto"/>
        </w:rPr>
        <w:t>Option Price</w:t>
      </w:r>
      <w:r>
        <w:rPr>
          <w:rFonts w:ascii="Trebuchet MS" w:cs="Trebuchet MS" w:eastAsia="Trebuchet MS" w:hAnsi="Trebuchet MS"/>
          <w:sz w:val="19"/>
          <w:szCs w:val="19"/>
          <w:color w:val="auto"/>
        </w:rPr>
        <w:t>. In the case of a Ten Percent Shareholder, the price at which a Share may be purchased upon</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exercise of an Incentive Stock Option shall not be less than 110% of the Fair Market Value of such Share on the grant date.</w:t>
      </w:r>
    </w:p>
    <w:p>
      <w:pPr>
        <w:spacing w:after="0" w:line="182" w:lineRule="exact"/>
        <w:rPr>
          <w:sz w:val="20"/>
          <w:szCs w:val="20"/>
          <w:color w:val="auto"/>
        </w:rPr>
      </w:pPr>
    </w:p>
    <w:p>
      <w:pPr>
        <w:jc w:val="both"/>
        <w:ind w:left="2080" w:hanging="928"/>
        <w:spacing w:after="0"/>
        <w:rPr>
          <w:sz w:val="20"/>
          <w:szCs w:val="20"/>
          <w:color w:val="auto"/>
        </w:rPr>
      </w:pPr>
      <w:r>
        <w:rPr>
          <w:rFonts w:ascii="Arial" w:cs="Arial" w:eastAsia="Arial" w:hAnsi="Arial"/>
          <w:sz w:val="18"/>
          <w:szCs w:val="18"/>
          <w:color w:val="auto"/>
        </w:rPr>
        <w:t xml:space="preserve">6.3. </w:t>
      </w:r>
      <w:r>
        <w:rPr>
          <w:rFonts w:ascii="Trebuchet MS" w:cs="Trebuchet MS" w:eastAsia="Trebuchet MS" w:hAnsi="Trebuchet MS"/>
          <w:sz w:val="19"/>
          <w:szCs w:val="19"/>
          <w:u w:val="single" w:color="auto"/>
          <w:color w:val="auto"/>
        </w:rPr>
        <w:t>Certain Maximum Limits</w:t>
      </w:r>
      <w:r>
        <w:rPr>
          <w:rFonts w:ascii="Trebuchet MS" w:cs="Trebuchet MS" w:eastAsia="Trebuchet MS" w:hAnsi="Trebuchet MS"/>
          <w:sz w:val="19"/>
          <w:szCs w:val="19"/>
          <w:color w:val="auto"/>
        </w:rPr>
        <w:t>.</w:t>
      </w:r>
      <w:r>
        <w:rPr>
          <w:sz w:val="20"/>
          <w:szCs w:val="20"/>
          <w:color w:val="auto"/>
        </w:rPr>
        <w:t xml:space="preserve"> </w:t>
      </w:r>
      <w:r>
        <w:rPr>
          <w:rFonts w:ascii="Trebuchet MS" w:cs="Trebuchet MS" w:eastAsia="Trebuchet MS" w:hAnsi="Trebuchet MS"/>
          <w:sz w:val="20"/>
          <w:szCs w:val="20"/>
          <w:color w:val="auto"/>
        </w:rPr>
        <w:t>The maximum number of Shares issuable upon the exercise of Incentive Stock Options at any time shall not exceed 20,033,137 Shares, subject to adjustment as provided in Rule 10 of the Scheme.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64" w:name="page265"/>
    <w:bookmarkEnd w:id="264"/>
    <w:p>
      <w:pPr>
        <w:jc w:val="both"/>
        <w:ind w:left="2080" w:hanging="928"/>
        <w:spacing w:after="0" w:line="266" w:lineRule="auto"/>
        <w:rPr>
          <w:sz w:val="20"/>
          <w:szCs w:val="20"/>
          <w:color w:val="auto"/>
        </w:rPr>
      </w:pPr>
      <w:r>
        <w:rPr>
          <w:rFonts w:ascii="Arial" w:cs="Arial" w:eastAsia="Arial" w:hAnsi="Arial"/>
          <w:sz w:val="18"/>
          <w:szCs w:val="18"/>
          <w:color w:val="auto"/>
        </w:rPr>
        <w:t xml:space="preserve">6.4. </w:t>
      </w:r>
      <w:r>
        <w:rPr>
          <w:rFonts w:ascii="Trebuchet MS" w:cs="Trebuchet MS" w:eastAsia="Trebuchet MS" w:hAnsi="Trebuchet MS"/>
          <w:sz w:val="19"/>
          <w:szCs w:val="19"/>
          <w:u w:val="single" w:color="auto"/>
          <w:color w:val="auto"/>
        </w:rPr>
        <w:t>Term of Options</w:t>
      </w:r>
      <w:r>
        <w:rPr>
          <w:rFonts w:ascii="Trebuchet MS" w:cs="Trebuchet MS" w:eastAsia="Trebuchet MS" w:hAnsi="Trebuchet MS"/>
          <w:sz w:val="19"/>
          <w:szCs w:val="19"/>
          <w:color w:val="auto"/>
        </w:rPr>
        <w:t>. In the case of a Ten Percent Shareholder, the term of an Incentive Stock Option shall be</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no greater than five years.</w:t>
      </w:r>
    </w:p>
    <w:p>
      <w:pPr>
        <w:spacing w:after="0" w:line="172" w:lineRule="exact"/>
        <w:rPr>
          <w:sz w:val="20"/>
          <w:szCs w:val="20"/>
          <w:color w:val="auto"/>
        </w:rPr>
      </w:pPr>
    </w:p>
    <w:p>
      <w:pPr>
        <w:jc w:val="both"/>
        <w:ind w:left="2080" w:hanging="928"/>
        <w:spacing w:after="0" w:line="252" w:lineRule="auto"/>
        <w:rPr>
          <w:sz w:val="20"/>
          <w:szCs w:val="20"/>
          <w:color w:val="auto"/>
        </w:rPr>
      </w:pPr>
      <w:r>
        <w:rPr>
          <w:rFonts w:ascii="Arial" w:cs="Arial" w:eastAsia="Arial" w:hAnsi="Arial"/>
          <w:sz w:val="18"/>
          <w:szCs w:val="18"/>
          <w:color w:val="auto"/>
        </w:rPr>
        <w:t xml:space="preserve">6.5. </w:t>
      </w:r>
      <w:r>
        <w:rPr>
          <w:rFonts w:ascii="Trebuchet MS" w:cs="Trebuchet MS" w:eastAsia="Trebuchet MS" w:hAnsi="Trebuchet MS"/>
          <w:sz w:val="19"/>
          <w:szCs w:val="19"/>
          <w:u w:val="single" w:color="auto"/>
          <w:color w:val="auto"/>
        </w:rPr>
        <w:t>Notice</w:t>
      </w:r>
      <w:r>
        <w:rPr>
          <w:rFonts w:ascii="Trebuchet MS" w:cs="Trebuchet MS" w:eastAsia="Trebuchet MS" w:hAnsi="Trebuchet MS"/>
          <w:sz w:val="19"/>
          <w:szCs w:val="19"/>
          <w:color w:val="auto"/>
        </w:rPr>
        <w:t>. Each US Participant awarded an Incentive Stock Option under the Scheme shall notify the Company</w:t>
      </w:r>
      <w:r>
        <w:rPr>
          <w:rFonts w:ascii="Arial" w:cs="Arial" w:eastAsia="Arial" w:hAnsi="Arial"/>
          <w:sz w:val="18"/>
          <w:szCs w:val="18"/>
          <w:color w:val="auto"/>
        </w:rPr>
        <w:t xml:space="preserve"> </w:t>
      </w:r>
      <w:r>
        <w:rPr>
          <w:rFonts w:ascii="Trebuchet MS" w:cs="Trebuchet MS" w:eastAsia="Trebuchet MS" w:hAnsi="Trebuchet MS"/>
          <w:sz w:val="19"/>
          <w:szCs w:val="19"/>
          <w:color w:val="auto"/>
        </w:rPr>
        <w:t>in writing immediately after the date he or she makes a “disqualifying disposition” (as defined in US Code Section 421(b)) of any Shares acquired pursuant to the exercise of such Incentive Stock Option. The Company may, if determined by the Board and in accordance with procedures established by it, retain possession of any Shares acquired pursuant to the exercise of an Incentive Stock Option as agent for the applicable US Participant until the end of any period during which a disqualifying disposition could occur, subject to complying with any instructions from such US Participant as to the sale of such Shares.</w:t>
      </w:r>
    </w:p>
    <w:p>
      <w:pPr>
        <w:spacing w:after="0" w:line="200" w:lineRule="exact"/>
        <w:rPr>
          <w:sz w:val="20"/>
          <w:szCs w:val="20"/>
          <w:color w:val="auto"/>
        </w:rPr>
      </w:pPr>
    </w:p>
    <w:p>
      <w:pPr>
        <w:spacing w:after="0" w:line="203" w:lineRule="exact"/>
        <w:rPr>
          <w:sz w:val="20"/>
          <w:szCs w:val="20"/>
          <w:color w:val="auto"/>
        </w:rPr>
      </w:pPr>
    </w:p>
    <w:p>
      <w:pPr>
        <w:jc w:val="both"/>
        <w:ind w:left="2080" w:hanging="928"/>
        <w:spacing w:after="0" w:line="238" w:lineRule="auto"/>
        <w:rPr>
          <w:sz w:val="20"/>
          <w:szCs w:val="20"/>
          <w:color w:val="auto"/>
        </w:rPr>
      </w:pPr>
      <w:r>
        <w:rPr>
          <w:rFonts w:ascii="Arial" w:cs="Arial" w:eastAsia="Arial" w:hAnsi="Arial"/>
          <w:sz w:val="18"/>
          <w:szCs w:val="18"/>
          <w:color w:val="auto"/>
        </w:rPr>
        <w:t xml:space="preserve">6.6. </w:t>
      </w:r>
      <w:r>
        <w:rPr>
          <w:rFonts w:ascii="Trebuchet MS" w:cs="Trebuchet MS" w:eastAsia="Trebuchet MS" w:hAnsi="Trebuchet MS"/>
          <w:sz w:val="19"/>
          <w:szCs w:val="19"/>
          <w:u w:val="single" w:color="auto"/>
          <w:color w:val="auto"/>
        </w:rPr>
        <w:t>Certain Dollar Limitations</w:t>
      </w:r>
      <w:r>
        <w:rPr>
          <w:rFonts w:ascii="Trebuchet MS" w:cs="Trebuchet MS" w:eastAsia="Trebuchet MS" w:hAnsi="Trebuchet MS"/>
          <w:sz w:val="19"/>
          <w:szCs w:val="19"/>
          <w:color w:val="auto"/>
        </w:rPr>
        <w:t>.</w:t>
      </w:r>
      <w:r>
        <w:rPr>
          <w:sz w:val="20"/>
          <w:szCs w:val="20"/>
          <w:color w:val="auto"/>
        </w:rPr>
        <w:t xml:space="preserve"> </w:t>
      </w:r>
      <w:r>
        <w:rPr>
          <w:rFonts w:ascii="Trebuchet MS" w:cs="Trebuchet MS" w:eastAsia="Trebuchet MS" w:hAnsi="Trebuchet MS"/>
          <w:sz w:val="20"/>
          <w:szCs w:val="20"/>
          <w:color w:val="auto"/>
        </w:rPr>
        <w:t>The aggregate Fair Market Value, determined as of the grant date, for Options granted under the Scheme (or any other stock option scheme required to be taken into account under US Code Section 422(d)) that are intended to be Incentive Stock Options which are first exercisable by the US Participant during any calendar year shall not exceed $100,000. To the extent an Option purporting to be an Incentive Stock Option exceeds the limitation in the previous sentence, the portion of the Option in excess of such limit shall be a Non-Qualified Option.</w:t>
      </w:r>
    </w:p>
    <w:p>
      <w:pPr>
        <w:spacing w:after="0" w:line="198" w:lineRule="exact"/>
        <w:rPr>
          <w:sz w:val="20"/>
          <w:szCs w:val="20"/>
          <w:color w:val="auto"/>
        </w:rPr>
      </w:pPr>
    </w:p>
    <w:p>
      <w:pPr>
        <w:jc w:val="both"/>
        <w:ind w:left="2080" w:hanging="928"/>
        <w:spacing w:after="0" w:line="238" w:lineRule="auto"/>
        <w:rPr>
          <w:sz w:val="20"/>
          <w:szCs w:val="20"/>
          <w:color w:val="auto"/>
        </w:rPr>
      </w:pPr>
      <w:r>
        <w:rPr>
          <w:rFonts w:ascii="Arial" w:cs="Arial" w:eastAsia="Arial" w:hAnsi="Arial"/>
          <w:sz w:val="18"/>
          <w:szCs w:val="18"/>
          <w:color w:val="auto"/>
        </w:rPr>
        <w:t xml:space="preserve">6.7. </w:t>
      </w:r>
      <w:r>
        <w:rPr>
          <w:rFonts w:ascii="Trebuchet MS" w:cs="Trebuchet MS" w:eastAsia="Trebuchet MS" w:hAnsi="Trebuchet MS"/>
          <w:sz w:val="19"/>
          <w:szCs w:val="19"/>
          <w:u w:val="single" w:color="auto"/>
          <w:color w:val="auto"/>
        </w:rPr>
        <w:t>Limits on Transferability</w:t>
      </w:r>
      <w:r>
        <w:rPr>
          <w:rFonts w:ascii="Trebuchet MS" w:cs="Trebuchet MS" w:eastAsia="Trebuchet MS" w:hAnsi="Trebuchet MS"/>
          <w:sz w:val="19"/>
          <w:szCs w:val="19"/>
          <w:color w:val="auto"/>
        </w:rPr>
        <w:t>.</w:t>
      </w:r>
      <w:r>
        <w:rPr>
          <w:sz w:val="20"/>
          <w:szCs w:val="20"/>
          <w:color w:val="auto"/>
        </w:rPr>
        <w:t xml:space="preserve"> </w:t>
      </w:r>
      <w:r>
        <w:rPr>
          <w:rFonts w:ascii="Trebuchet MS" w:cs="Trebuchet MS" w:eastAsia="Trebuchet MS" w:hAnsi="Trebuchet MS"/>
          <w:sz w:val="20"/>
          <w:szCs w:val="20"/>
          <w:color w:val="auto"/>
        </w:rPr>
        <w:t>Notwithstanding anything in the Scheme to the contrary, no Incentive Stock Option shall be pledged, encumbered, or hypothecated to, or in favor of, or subject to any lien, obligation, or liability of a US Participant to, any party, other than the Company or any Subsidiary, or assigned or transferred by a US Participant otherwise than by will or the laws of descent and distribution, and such Incentive Stock Options and rights shall be exercisable during the lifetime of the US Participant only by the US Participant or his or her guardian or legal representative.</w:t>
      </w:r>
    </w:p>
    <w:p>
      <w:pPr>
        <w:spacing w:after="0" w:line="198" w:lineRule="exact"/>
        <w:rPr>
          <w:sz w:val="20"/>
          <w:szCs w:val="20"/>
          <w:color w:val="auto"/>
        </w:rPr>
      </w:pPr>
    </w:p>
    <w:p>
      <w:pPr>
        <w:ind w:left="1040" w:hanging="1032"/>
        <w:spacing w:after="0" w:line="239" w:lineRule="auto"/>
        <w:tabs>
          <w:tab w:leader="none" w:pos="422" w:val="left"/>
        </w:tabs>
        <w:numPr>
          <w:ilvl w:val="0"/>
          <w:numId w:val="218"/>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Replacement Options</w:t>
      </w:r>
      <w:r>
        <w:rPr>
          <w:rFonts w:ascii="Trebuchet MS" w:cs="Trebuchet MS" w:eastAsia="Trebuchet MS" w:hAnsi="Trebuchet MS"/>
          <w:sz w:val="20"/>
          <w:szCs w:val="20"/>
          <w:color w:val="auto"/>
        </w:rPr>
        <w:t>. The provisions of Rule 8 of the Scheme regarding the granting of a Replacement Option shall apply to Options held by US Participants, provided that any such Replacement Option shall satisfy the requirements of US Code Section 409A (and to the extent applicable, US Code Section 422).</w:t>
      </w:r>
    </w:p>
    <w:p>
      <w:pPr>
        <w:spacing w:after="0" w:line="183" w:lineRule="exact"/>
        <w:rPr>
          <w:rFonts w:ascii="Arial" w:cs="Arial" w:eastAsia="Arial" w:hAnsi="Arial"/>
          <w:sz w:val="18"/>
          <w:szCs w:val="18"/>
          <w:color w:val="auto"/>
        </w:rPr>
      </w:pPr>
    </w:p>
    <w:p>
      <w:pPr>
        <w:ind w:left="1040" w:hanging="1032"/>
        <w:spacing w:after="0"/>
        <w:tabs>
          <w:tab w:leader="none" w:pos="408" w:val="left"/>
        </w:tabs>
        <w:numPr>
          <w:ilvl w:val="0"/>
          <w:numId w:val="218"/>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Variation of Capital</w:t>
      </w:r>
      <w:r>
        <w:rPr>
          <w:rFonts w:ascii="Trebuchet MS" w:cs="Trebuchet MS" w:eastAsia="Trebuchet MS" w:hAnsi="Trebuchet MS"/>
          <w:sz w:val="20"/>
          <w:szCs w:val="20"/>
          <w:color w:val="auto"/>
        </w:rPr>
        <w:t>. Any adjustment under Rule 10 of the Scheme to an Option held by a US Participant shall be done in accordance with US Code Section 409A (and to the extent applicable, US Code Section 422).</w:t>
      </w:r>
    </w:p>
    <w:p>
      <w:pPr>
        <w:spacing w:after="0" w:line="197"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65" w:name="page266"/>
    <w:bookmarkEnd w:id="265"/>
    <w:p>
      <w:pPr>
        <w:ind w:left="1040" w:hanging="1032"/>
        <w:spacing w:after="0" w:line="238" w:lineRule="auto"/>
        <w:tabs>
          <w:tab w:leader="none" w:pos="435" w:val="left"/>
        </w:tabs>
        <w:numPr>
          <w:ilvl w:val="0"/>
          <w:numId w:val="219"/>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Tax Withholding</w:t>
      </w:r>
      <w:r>
        <w:rPr>
          <w:rFonts w:ascii="Trebuchet MS" w:cs="Trebuchet MS" w:eastAsia="Trebuchet MS" w:hAnsi="Trebuchet MS"/>
          <w:sz w:val="20"/>
          <w:szCs w:val="20"/>
          <w:color w:val="auto"/>
        </w:rPr>
        <w:t>. The Company and its subsidiaries shall be entitled to withhold from any payments or vesting or exercise of Options under the Scheme any amount of federal, state and local tax withholding determined by the Board to be required by law (including, without limitation, in their sole discretion, withholding Shares that otherwise would be acquired upon the exercise of an Option and/or withholding from any payroll or other amounts otherwise due to a US Participant).</w:t>
      </w:r>
    </w:p>
    <w:p>
      <w:pPr>
        <w:spacing w:after="0" w:line="198" w:lineRule="exact"/>
        <w:rPr>
          <w:rFonts w:ascii="Arial" w:cs="Arial" w:eastAsia="Arial" w:hAnsi="Arial"/>
          <w:sz w:val="18"/>
          <w:szCs w:val="18"/>
          <w:color w:val="auto"/>
        </w:rPr>
      </w:pPr>
    </w:p>
    <w:p>
      <w:pPr>
        <w:ind w:left="1040" w:hanging="1032"/>
        <w:spacing w:after="0" w:line="237" w:lineRule="auto"/>
        <w:tabs>
          <w:tab w:leader="none" w:pos="435" w:val="left"/>
        </w:tabs>
        <w:numPr>
          <w:ilvl w:val="0"/>
          <w:numId w:val="219"/>
        </w:numPr>
        <w:rPr>
          <w:rFonts w:ascii="Arial" w:cs="Arial" w:eastAsia="Arial" w:hAnsi="Arial"/>
          <w:sz w:val="18"/>
          <w:szCs w:val="18"/>
          <w:color w:val="auto"/>
        </w:rPr>
      </w:pPr>
      <w:r>
        <w:rPr>
          <w:rFonts w:ascii="Trebuchet MS" w:cs="Trebuchet MS" w:eastAsia="Trebuchet MS" w:hAnsi="Trebuchet MS"/>
          <w:sz w:val="20"/>
          <w:szCs w:val="20"/>
          <w:u w:val="single" w:color="auto"/>
          <w:color w:val="auto"/>
        </w:rPr>
        <w:t>US Code Section 409A</w:t>
      </w:r>
      <w:r>
        <w:rPr>
          <w:rFonts w:ascii="Trebuchet MS" w:cs="Trebuchet MS" w:eastAsia="Trebuchet MS" w:hAnsi="Trebuchet MS"/>
          <w:sz w:val="20"/>
          <w:szCs w:val="20"/>
          <w:color w:val="auto"/>
        </w:rPr>
        <w:t>. With respect to US Participants, the Scheme, this Sub-Plan and all Options are intended to comply with, or be exempt from, US Code Section 409A and all regulations, guidance, compliance programs and other interpretative authority thereunder, and all provisions of the Scheme, this Sub-Plan and related agreements shall be applied and interpreted in a manner consistent therewith. Notwithstanding anything contained herein to the contrary, in the event any Option is subject to US Code Section 409A, the Board or the Company’s general counsel may, in their sole discretion and without a US Participant’s prior consent, amend the Scheme, this Sub-Plan and/or any Option, adopt policies and procedures, or take any other actions as deemed appropriate by the Board or the Company’s general counsel to (i) exempt the Scheme, this Sub-Plan and/or any Option from the application of US Code Section 409A, (ii) preserve the intended tax treatment of any such Option or (iii) comply with the requirements of US Code Section 409A. Neither the Company nor any of its Subsidiaries shall be held liable for any taxes, interest, penalties or other amounts owed by a US Participant under US Code Section 409A. In the event that a US Participant is a “specified employee” within the meaning of US Code Section 409A, and a payment or benefit provided for under the Scheme or this Sub-Plan would be subject to additional tax under US Code Section 409A if such payment or benefit is paid within six (6) months after such US Participant’s separation from service (within the meaning of US Code Section 409A), then such payment or benefit shall not be paid (or commence) during the six (6) month period immediately following such US Participant’s separation from service except as provided in the immediately following sentence. In such an event, any payments or benefits that would otherwise have been made or provided during such six (6) month period and which would have incurred such additional tax under US Code Section 409A instead shall be paid to the US Participant in a lump-sum, without interest, on the earlier of (i) the first business day of the seventh month following such US Participant’s separation from service or (ii) the tenth business day following such US Participant’s death. Any provision of the Scheme or this Sub-Plan that violates US Code Section 409A shall be deemed null and void with respect to any US Participant.</w:t>
      </w:r>
    </w:p>
    <w:p>
      <w:pPr>
        <w:spacing w:after="0" w:line="193"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266" w:name="page267"/>
    <w:bookmarkEnd w:id="2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Letter of Invitation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 Company Notepaper]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 of employee]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NUCANA BIOMED LIMITED SHARE OPTION SCHEME (“SCHEME”)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 am pleased to advise you that the Board of directors of NuCana Biomed Limited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has resolved to invite you to apply for the grant of an EMI Option pursuant to the terms of the Rules of the Scheme and the attached Option Agreement to acquire ● ordinary shares of ● pence each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 pence per Share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as agreed with HM Revenue and Customs for the purposes of the grant of an EMI Option under the Scheme as the Market Value of a Share at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with this letter you will find:-</w:t>
      </w:r>
    </w:p>
    <w:p>
      <w:pPr>
        <w:spacing w:after="0" w:line="225" w:lineRule="exact"/>
        <w:rPr>
          <w:sz w:val="20"/>
          <w:szCs w:val="20"/>
          <w:color w:val="auto"/>
        </w:rPr>
      </w:pPr>
    </w:p>
    <w:p>
      <w:pPr>
        <w:ind w:left="360" w:hanging="352"/>
        <w:spacing w:after="0"/>
        <w:tabs>
          <w:tab w:leader="none" w:pos="3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Letter</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Agreement</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Notice</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of the Scheme</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Association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enclosed Option Agreement and Rules carefully and, if you wish to accept the EMI Option, sign the Option Agreement in the presence of an independent witness (who should add his or her name, address and occupation where indicated). Please do not date the Option Agreement. Return the Option Agreement to the Company Secretary at ● no later than 14 days from the date of receipt this letter.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do not return the duly signed Option Agreement to the Company Secretary within 14 days then this invitation will lapse and you will no longer be entitled to the EMI Option.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do return a duly signed Option Agreement to the Company Secretary within 14 days the EMI Option will be granted to you on [ ] days from date of invitation</w:t>
      </w:r>
      <w:r>
        <w:rPr>
          <w:rFonts w:ascii="Times New Roman" w:cs="Times New Roman" w:eastAsia="Times New Roman" w:hAnsi="Times New Roman"/>
          <w:sz w:val="18"/>
          <w:szCs w:val="18"/>
          <w:i w:val="1"/>
          <w:iCs w:val="1"/>
          <w:color w:val="auto"/>
        </w:rPr>
        <w:t>. NOTE the date of the Option Agreement should correspond with this date.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Note that the Option Agreement includes a requirement that you indemnify the Company in respect of any income tax collectible under PAYE and employee’s national insurance contributions charges which may arise on exercise of your EMI Option (</w:t>
      </w:r>
      <w:r>
        <w:rPr>
          <w:rFonts w:ascii="Times New Roman" w:cs="Times New Roman" w:eastAsia="Times New Roman" w:hAnsi="Times New Roman"/>
          <w:sz w:val="18"/>
          <w:szCs w:val="18"/>
          <w:b w:val="1"/>
          <w:bCs w:val="1"/>
          <w:color w:val="auto"/>
        </w:rPr>
        <w:t>“Tax Liability”</w:t>
      </w:r>
      <w:r>
        <w:rPr>
          <w:rFonts w:ascii="Times New Roman" w:cs="Times New Roman" w:eastAsia="Times New Roman" w:hAnsi="Times New Roman"/>
          <w:sz w:val="18"/>
          <w:szCs w:val="18"/>
          <w:color w:val="auto"/>
        </w:rPr>
        <w:t>). This is referred to in Rule 2.6(a) which you should read. The Option Agreement also requires you to enter into a Joint Election relating to restricted shares, if required by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receipt of the duly executed Option Agreement by the Company Secretary, it will be executed for and on behalf of the Company and dated. Then it will be returned to you for your safekeeping and should be kept as evidence of your entitlement to the EMI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any queries which you may have about the operation of the Scheme or the Option Agreement to the Company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NUCANA BIOMED LIMITED</w:t>
      </w:r>
    </w:p>
    <w:p>
      <w:pPr>
        <w:spacing w:after="0" w:line="25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7" w:name="page268"/>
    <w:bookmarkEnd w:id="267"/>
    <w:p>
      <w:pPr>
        <w:jc w:val="center"/>
        <w:ind w:right="40"/>
        <w:spacing w:after="0"/>
        <w:rPr>
          <w:sz w:val="20"/>
          <w:szCs w:val="20"/>
          <w:color w:val="auto"/>
        </w:rPr>
      </w:pPr>
      <w:r>
        <w:rPr>
          <w:rFonts w:ascii="Times New Roman" w:cs="Times New Roman" w:eastAsia="Times New Roman" w:hAnsi="Times New Roman"/>
          <w:sz w:val="18"/>
          <w:szCs w:val="18"/>
          <w:color w:val="auto"/>
        </w:rPr>
        <w:t>[On Company Notepaper]</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Copy to sign and return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 of employee]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NUCANA BIOMED LIMITED SHARE OPTION SCHEME (“SCHEME”)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 am pleased to advise you that the Board of directors of NuCana Biomed Limited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has resolved to invite you to apply for the grant of an EMI Option pursuant to the terms of the Rules of the Scheme and the attached Option Agreement to acquire ● ordinary shares of ● pence each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 pence per Share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as agreed with HM Revenue and Customs for the purposes of the grant of an EMI Option under the Scheme as the Market Value of a Share at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with this letter you will find:-</w:t>
      </w:r>
    </w:p>
    <w:p>
      <w:pPr>
        <w:spacing w:after="0" w:line="225" w:lineRule="exact"/>
        <w:rPr>
          <w:sz w:val="20"/>
          <w:szCs w:val="20"/>
          <w:color w:val="auto"/>
        </w:rPr>
      </w:pPr>
    </w:p>
    <w:p>
      <w:pPr>
        <w:ind w:left="360" w:hanging="352"/>
        <w:spacing w:after="0"/>
        <w:tabs>
          <w:tab w:leader="none" w:pos="3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Letter</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Agreement</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Notice</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of the Scheme</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Association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enclosed Option Agreement and Rules carefully and, if you wish to accept the EMI Option, sign the Option Agreement in the presence of an independent witness (who should add his or her name, address and occupation where indicated). Please do not date the Option Agreement. Return the Option Agreement to the Company Secretary at ● no later than 14 days from the date of receipt this letter.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do not return the duly signed Option Agreement to the Company Secretary within 14 days then this invitation will lapse and you will no longer be entitled to the EMI Option.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do return a duly signed Option Agreement to the Company Secretary within 14 days the EMI Option will be granted to you on [ ] days from date of invitation</w:t>
      </w:r>
      <w:r>
        <w:rPr>
          <w:rFonts w:ascii="Times New Roman" w:cs="Times New Roman" w:eastAsia="Times New Roman" w:hAnsi="Times New Roman"/>
          <w:sz w:val="18"/>
          <w:szCs w:val="18"/>
          <w:i w:val="1"/>
          <w:iCs w:val="1"/>
          <w:color w:val="auto"/>
        </w:rPr>
        <w:t>. NOTE the date of the Option Agreement should correspond with this date.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Note that the Option Agreement includes a requirement that you indemnify the Company in respect of any income tax collectible under PAYE and employee’s national insurance contributions charges which may arise on exercise of your EMI Option (</w:t>
      </w:r>
      <w:r>
        <w:rPr>
          <w:rFonts w:ascii="Times New Roman" w:cs="Times New Roman" w:eastAsia="Times New Roman" w:hAnsi="Times New Roman"/>
          <w:sz w:val="18"/>
          <w:szCs w:val="18"/>
          <w:b w:val="1"/>
          <w:bCs w:val="1"/>
          <w:color w:val="auto"/>
        </w:rPr>
        <w:t>“Tax Liability”</w:t>
      </w:r>
      <w:r>
        <w:rPr>
          <w:rFonts w:ascii="Times New Roman" w:cs="Times New Roman" w:eastAsia="Times New Roman" w:hAnsi="Times New Roman"/>
          <w:sz w:val="18"/>
          <w:szCs w:val="18"/>
          <w:color w:val="auto"/>
        </w:rPr>
        <w:t>). This is referred to in Rule 2.6(a) which you should read. The Option Agreement also requires you to enter into a Joint Election relating to restricted shares, if required by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receipt of the duly executed Option Agreement by the Company Secretary, it will be executed for and on behalf of the Company and dated. Then it will be returned to you for your safekeeping and should be kept as evidence of your entitlement to the EMI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any queries which you may have about the operation of the Scheme or the Option Agreement to the Company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NUCANA BIOMED LIMITED</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Signed:</w:t>
      </w:r>
      <w:r>
        <w:rPr>
          <w:sz w:val="20"/>
          <w:szCs w:val="20"/>
          <w:color w:val="auto"/>
        </w:rPr>
        <w:tab/>
      </w:r>
      <w:r>
        <w:rPr>
          <w:rFonts w:ascii="Times New Roman" w:cs="Times New Roman" w:eastAsia="Times New Roman" w:hAnsi="Times New Roman"/>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-5080</wp:posOffset>
            </wp:positionV>
            <wp:extent cx="2286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-5080</wp:posOffset>
            </wp:positionV>
            <wp:extent cx="2286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68" w:name="page269"/>
    <w:bookmarkEnd w:id="268"/>
    <w:p>
      <w:pPr>
        <w:ind w:left="4040"/>
        <w:spacing w:after="0"/>
        <w:rPr>
          <w:sz w:val="20"/>
          <w:szCs w:val="20"/>
          <w:color w:val="auto"/>
        </w:rPr>
      </w:pPr>
      <w:r>
        <w:rPr>
          <w:rFonts w:ascii="Times New Roman" w:cs="Times New Roman" w:eastAsia="Times New Roman" w:hAnsi="Times New Roman"/>
          <w:sz w:val="18"/>
          <w:szCs w:val="18"/>
          <w:b w:val="1"/>
          <w:bCs w:val="1"/>
          <w:color w:val="auto"/>
        </w:rPr>
        <w:t>Form of Unapproved Option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which is in the form of a deed is made the [●] day of [●]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ind w:left="380" w:hanging="368"/>
        <w:spacing w:after="0"/>
        <w:tabs>
          <w:tab w:leader="none" w:pos="3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NuCana Biomed Limited </w:t>
      </w:r>
      <w:r>
        <w:rPr>
          <w:rFonts w:ascii="Times New Roman" w:cs="Times New Roman" w:eastAsia="Times New Roman" w:hAnsi="Times New Roman"/>
          <w:sz w:val="18"/>
          <w:szCs w:val="18"/>
          <w:color w:val="auto"/>
        </w:rPr>
        <w:t>(03308778 ) whose registered office is at 77-78 Cannon Street, London, England, EC4N 6AF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80" w:hanging="368"/>
        <w:spacing w:after="0"/>
        <w:tabs>
          <w:tab w:leader="none" w:pos="3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holder’s name] of [option holder’s address] who will become “</w:t>
      </w:r>
      <w:r>
        <w:rPr>
          <w:rFonts w:ascii="Times New Roman" w:cs="Times New Roman" w:eastAsia="Times New Roman" w:hAnsi="Times New Roman"/>
          <w:sz w:val="18"/>
          <w:szCs w:val="18"/>
          <w:b w:val="1"/>
          <w:bCs w:val="1"/>
          <w:color w:val="auto"/>
        </w:rPr>
        <w:t>the Option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380" w:hanging="368"/>
        <w:spacing w:after="0"/>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Unapproved Option is granted subject to the rules of the 2016 NuCana Biomed Limited Share Option Scheme (“</w:t>
      </w:r>
      <w:r>
        <w:rPr>
          <w:rFonts w:ascii="Times New Roman" w:cs="Times New Roman" w:eastAsia="Times New Roman" w:hAnsi="Times New Roman"/>
          <w:sz w:val="18"/>
          <w:szCs w:val="18"/>
          <w:b w:val="1"/>
          <w:bCs w:val="1"/>
          <w:color w:val="auto"/>
        </w:rPr>
        <w:t>the Scheme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60" w:right="300" w:hanging="748"/>
        <w:spacing w:after="0" w:line="282" w:lineRule="auto"/>
        <w:tabs>
          <w:tab w:leader="none" w:pos="37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rules which is appended to this Agreement provides for the grant of options for commercial reasons in order to recruit and retain key Eligible Employees (“</w:t>
      </w:r>
      <w:r>
        <w:rPr>
          <w:rFonts w:ascii="Times New Roman" w:cs="Times New Roman" w:eastAsia="Times New Roman" w:hAnsi="Times New Roman"/>
          <w:sz w:val="18"/>
          <w:szCs w:val="18"/>
          <w:b w:val="1"/>
          <w:bCs w:val="1"/>
          <w:color w:val="auto"/>
        </w:rPr>
        <w:t>the Rules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380" w:hanging="368"/>
        <w:spacing w:after="0"/>
        <w:tabs>
          <w:tab w:leader="none" w:pos="3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[commenced employment] or [became a director] with the Company on [●] (“</w:t>
      </w:r>
      <w:r>
        <w:rPr>
          <w:rFonts w:ascii="Times New Roman" w:cs="Times New Roman" w:eastAsia="Times New Roman" w:hAnsi="Times New Roman"/>
          <w:sz w:val="18"/>
          <w:szCs w:val="18"/>
          <w:b w:val="1"/>
          <w:bCs w:val="1"/>
          <w:color w:val="auto"/>
        </w:rPr>
        <w:t>the Commencement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THIS AGREEMENT WITNESSES</w:t>
      </w:r>
    </w:p>
    <w:p>
      <w:pPr>
        <w:spacing w:after="0" w:line="229" w:lineRule="exact"/>
        <w:rPr>
          <w:sz w:val="20"/>
          <w:szCs w:val="20"/>
          <w:color w:val="auto"/>
        </w:rPr>
      </w:pPr>
    </w:p>
    <w:p>
      <w:pPr>
        <w:ind w:left="380" w:hanging="368"/>
        <w:spacing w:after="0"/>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the definitions in the Rules shall apply.</w:t>
      </w:r>
    </w:p>
    <w:p>
      <w:pPr>
        <w:spacing w:after="0" w:line="225" w:lineRule="exact"/>
        <w:rPr>
          <w:rFonts w:ascii="Times New Roman" w:cs="Times New Roman" w:eastAsia="Times New Roman" w:hAnsi="Times New Roman"/>
          <w:sz w:val="18"/>
          <w:szCs w:val="18"/>
          <w:color w:val="auto"/>
        </w:rPr>
      </w:pPr>
    </w:p>
    <w:p>
      <w:pPr>
        <w:ind w:left="380" w:hanging="368"/>
        <w:spacing w:after="0"/>
        <w:tabs>
          <w:tab w:leader="none" w:pos="3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Option Holder the Unapproved Option to acquire a maximum of [●] Shares, at an Option Price of [●] per Share.</w:t>
      </w:r>
    </w:p>
    <w:p>
      <w:pPr>
        <w:spacing w:after="0" w:line="221" w:lineRule="exact"/>
        <w:rPr>
          <w:sz w:val="20"/>
          <w:szCs w:val="20"/>
          <w:color w:val="auto"/>
        </w:rPr>
      </w:pPr>
    </w:p>
    <w:p>
      <w:pPr>
        <w:ind w:left="380" w:hanging="368"/>
        <w:spacing w:after="0"/>
        <w:tabs>
          <w:tab w:leader="none" w:pos="38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  The options shall be exercisable as follows:</w:t>
      </w:r>
    </w:p>
    <w:p>
      <w:pPr>
        <w:spacing w:after="0" w:line="221" w:lineRule="exact"/>
        <w:rPr>
          <w:sz w:val="20"/>
          <w:szCs w:val="20"/>
          <w:color w:val="auto"/>
        </w:rPr>
      </w:pPr>
    </w:p>
    <w:p>
      <w:pPr>
        <w:ind w:left="1500" w:right="880" w:hanging="739"/>
        <w:spacing w:after="0" w:line="286" w:lineRule="auto"/>
        <w:tabs>
          <w:tab w:leader="none" w:pos="11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over [●] Shares may be exercised at any time after the date falling 12 months from the Commencement Date (“</w:t>
      </w:r>
      <w:r>
        <w:rPr>
          <w:rFonts w:ascii="Times New Roman" w:cs="Times New Roman" w:eastAsia="Times New Roman" w:hAnsi="Times New Roman"/>
          <w:sz w:val="18"/>
          <w:szCs w:val="18"/>
          <w:b w:val="1"/>
          <w:bCs w:val="1"/>
          <w:color w:val="auto"/>
        </w:rPr>
        <w:t>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First Anniversary;</w:t>
      </w:r>
    </w:p>
    <w:p>
      <w:pPr>
        <w:spacing w:after="0" w:line="154" w:lineRule="exact"/>
        <w:rPr>
          <w:rFonts w:ascii="Times New Roman" w:cs="Times New Roman" w:eastAsia="Times New Roman" w:hAnsi="Times New Roman"/>
          <w:sz w:val="18"/>
          <w:szCs w:val="18"/>
          <w:color w:val="auto"/>
        </w:rPr>
      </w:pPr>
    </w:p>
    <w:p>
      <w:pPr>
        <w:ind w:left="1500" w:right="40" w:hanging="739"/>
        <w:spacing w:after="0" w:line="286" w:lineRule="auto"/>
        <w:tabs>
          <w:tab w:leader="none" w:pos="11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over a further [●] Shares may be exercised at any time after the date falling 24 months from the Commencement Date (“</w:t>
      </w:r>
      <w:r>
        <w:rPr>
          <w:rFonts w:ascii="Times New Roman" w:cs="Times New Roman" w:eastAsia="Times New Roman" w:hAnsi="Times New Roman"/>
          <w:sz w:val="18"/>
          <w:szCs w:val="18"/>
          <w:b w:val="1"/>
          <w:bCs w:val="1"/>
          <w:color w:val="auto"/>
        </w:rPr>
        <w:t>the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Second Anniversary;</w:t>
      </w:r>
    </w:p>
    <w:p>
      <w:pPr>
        <w:spacing w:after="0" w:line="154" w:lineRule="exact"/>
        <w:rPr>
          <w:rFonts w:ascii="Times New Roman" w:cs="Times New Roman" w:eastAsia="Times New Roman" w:hAnsi="Times New Roman"/>
          <w:sz w:val="18"/>
          <w:szCs w:val="18"/>
          <w:color w:val="auto"/>
        </w:rPr>
      </w:pPr>
    </w:p>
    <w:p>
      <w:pPr>
        <w:ind w:left="1500" w:right="140" w:hanging="739"/>
        <w:spacing w:after="0" w:line="286" w:lineRule="auto"/>
        <w:tabs>
          <w:tab w:leader="none" w:pos="11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over a further [●] Shares may be exercised at any time after the date falling 36 months from the Commencement Date (“</w:t>
      </w:r>
      <w:r>
        <w:rPr>
          <w:rFonts w:ascii="Times New Roman" w:cs="Times New Roman" w:eastAsia="Times New Roman" w:hAnsi="Times New Roman"/>
          <w:sz w:val="18"/>
          <w:szCs w:val="18"/>
          <w:b w:val="1"/>
          <w:bCs w:val="1"/>
          <w:color w:val="auto"/>
        </w:rPr>
        <w:t>the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Third Anniversary;</w:t>
      </w:r>
    </w:p>
    <w:p>
      <w:pPr>
        <w:spacing w:after="0" w:line="154" w:lineRule="exact"/>
        <w:rPr>
          <w:rFonts w:ascii="Times New Roman" w:cs="Times New Roman" w:eastAsia="Times New Roman" w:hAnsi="Times New Roman"/>
          <w:sz w:val="18"/>
          <w:szCs w:val="18"/>
          <w:color w:val="auto"/>
        </w:rPr>
      </w:pPr>
    </w:p>
    <w:p>
      <w:pPr>
        <w:ind w:left="1500" w:right="440" w:hanging="739"/>
        <w:spacing w:after="0" w:line="286" w:lineRule="auto"/>
        <w:tabs>
          <w:tab w:leader="none" w:pos="11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the final [●] Shares may be exercised at any time after the date falling 48 months from the Commencement Date (“</w:t>
      </w:r>
      <w:r>
        <w:rPr>
          <w:rFonts w:ascii="Times New Roman" w:cs="Times New Roman" w:eastAsia="Times New Roman" w:hAnsi="Times New Roman"/>
          <w:sz w:val="18"/>
          <w:szCs w:val="18"/>
          <w:b w:val="1"/>
          <w:bCs w:val="1"/>
          <w:color w:val="auto"/>
        </w:rPr>
        <w:t>the Fourth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Fourth Anniversary;</w:t>
      </w:r>
    </w:p>
    <w:p>
      <w:pPr>
        <w:spacing w:after="0" w:line="15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color w:val="auto"/>
        </w:rPr>
        <w:t>and where options become exerciseable in accordance with the foregoing they shall be referred to as having “</w:t>
      </w:r>
      <w:r>
        <w:rPr>
          <w:rFonts w:ascii="Times New Roman" w:cs="Times New Roman" w:eastAsia="Times New Roman" w:hAnsi="Times New Roman"/>
          <w:sz w:val="18"/>
          <w:szCs w:val="18"/>
          <w:b w:val="1"/>
          <w:bCs w:val="1"/>
          <w:color w:val="auto"/>
        </w:rPr>
        <w:t>vested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vest</w:t>
      </w:r>
      <w:r>
        <w:rPr>
          <w:rFonts w:ascii="Times New Roman" w:cs="Times New Roman" w:eastAsia="Times New Roman" w:hAnsi="Times New Roman"/>
          <w:sz w:val="18"/>
          <w:szCs w:val="18"/>
          <w:color w:val="auto"/>
        </w:rPr>
        <w:t>” and those which are not exerciseable shall be referred to as “</w:t>
      </w:r>
      <w:r>
        <w:rPr>
          <w:rFonts w:ascii="Times New Roman" w:cs="Times New Roman" w:eastAsia="Times New Roman" w:hAnsi="Times New Roman"/>
          <w:sz w:val="18"/>
          <w:szCs w:val="18"/>
          <w:b w:val="1"/>
          <w:bCs w:val="1"/>
          <w:color w:val="auto"/>
        </w:rPr>
        <w:t>unvested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3.2  Upon the Option Holder ceasing to be an Eligible Employee for any reason all options which are unvested shall lapse forthwith.</w:t>
      </w:r>
    </w:p>
    <w:p>
      <w:pPr>
        <w:spacing w:after="0" w:line="225" w:lineRule="exact"/>
        <w:rPr>
          <w:sz w:val="20"/>
          <w:szCs w:val="20"/>
          <w:color w:val="auto"/>
        </w:rPr>
      </w:pPr>
    </w:p>
    <w:p>
      <w:pPr>
        <w:ind w:left="1500" w:right="280" w:hanging="743"/>
        <w:spacing w:after="0" w:line="282" w:lineRule="auto"/>
        <w:rPr>
          <w:sz w:val="20"/>
          <w:szCs w:val="20"/>
          <w:color w:val="auto"/>
        </w:rPr>
      </w:pPr>
      <w:r>
        <w:rPr>
          <w:rFonts w:ascii="Times New Roman" w:cs="Times New Roman" w:eastAsia="Times New Roman" w:hAnsi="Times New Roman"/>
          <w:sz w:val="18"/>
          <w:szCs w:val="18"/>
          <w:color w:val="auto"/>
        </w:rPr>
        <w:t>3.3 All unvested options which have not lapsed in accordance with clause 3.2 shall immediately vest if following a Change of Control of the Company (as defined in the Rules):-</w:t>
      </w:r>
    </w:p>
    <w:p>
      <w:pPr>
        <w:spacing w:after="0" w:line="162" w:lineRule="exact"/>
        <w:rPr>
          <w:sz w:val="20"/>
          <w:szCs w:val="20"/>
          <w:color w:val="auto"/>
        </w:rPr>
      </w:pPr>
    </w:p>
    <w:p>
      <w:pPr>
        <w:ind w:left="1860" w:hanging="350"/>
        <w:spacing w:after="0"/>
        <w:tabs>
          <w:tab w:leader="none" w:pos="18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remains an Eligible Employee; and</w:t>
      </w:r>
    </w:p>
    <w:p>
      <w:pPr>
        <w:spacing w:after="0" w:line="225" w:lineRule="exact"/>
        <w:rPr>
          <w:rFonts w:ascii="Times New Roman" w:cs="Times New Roman" w:eastAsia="Times New Roman" w:hAnsi="Times New Roman"/>
          <w:sz w:val="18"/>
          <w:szCs w:val="18"/>
          <w:color w:val="auto"/>
        </w:rPr>
      </w:pPr>
    </w:p>
    <w:p>
      <w:pPr>
        <w:ind w:left="1860" w:hanging="350"/>
        <w:spacing w:after="0"/>
        <w:tabs>
          <w:tab w:leader="none" w:pos="18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following conditions is also satisfied:-</w:t>
      </w:r>
    </w:p>
    <w:p>
      <w:pPr>
        <w:spacing w:after="0" w:line="247"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9" w:name="page270"/>
    <w:bookmarkEnd w:id="269"/>
    <w:p>
      <w:pPr>
        <w:ind w:left="2988" w:right="320" w:hanging="746"/>
        <w:spacing w:after="0" w:line="282" w:lineRule="auto"/>
        <w:tabs>
          <w:tab w:leader="none" w:pos="259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has experienced a material reduction in his base compensation payable on or around the Date of Grant or as the same may be increased from time to time; or</w:t>
      </w:r>
    </w:p>
    <w:p>
      <w:pPr>
        <w:spacing w:after="0" w:line="161" w:lineRule="exact"/>
        <w:rPr>
          <w:rFonts w:ascii="Times New Roman" w:cs="Times New Roman" w:eastAsia="Times New Roman" w:hAnsi="Times New Roman"/>
          <w:sz w:val="18"/>
          <w:szCs w:val="18"/>
          <w:color w:val="auto"/>
        </w:rPr>
      </w:pPr>
    </w:p>
    <w:p>
      <w:pPr>
        <w:ind w:left="2988" w:right="40" w:hanging="746"/>
        <w:spacing w:after="0" w:line="261" w:lineRule="auto"/>
        <w:tabs>
          <w:tab w:leader="none" w:pos="259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has experienced a material change or reduction in his authority, duties, reporting or responsibilities, provided, however, that a change in job title shall not be deemed a “material reduction” unless the Option Holder’s new authority, duties, reporting or responsibilities are substantially changed or reduced from the prior authority, duties, reporting or responsibilities.</w:t>
      </w:r>
    </w:p>
    <w:p>
      <w:pPr>
        <w:spacing w:after="0" w:line="179"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Unapproved Option may not be exercised:</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4.1  after the time in Rule 6.2(a);</w:t>
      </w:r>
    </w:p>
    <w:p>
      <w:pPr>
        <w:spacing w:after="0" w:line="225" w:lineRule="exact"/>
        <w:rPr>
          <w:sz w:val="20"/>
          <w:szCs w:val="20"/>
          <w:color w:val="auto"/>
        </w:rPr>
      </w:pPr>
    </w:p>
    <w:p>
      <w:pPr>
        <w:ind w:left="1488" w:right="180" w:hanging="743"/>
        <w:spacing w:after="0" w:line="266" w:lineRule="auto"/>
        <w:rPr>
          <w:sz w:val="20"/>
          <w:szCs w:val="20"/>
          <w:color w:val="auto"/>
        </w:rPr>
      </w:pPr>
      <w:r>
        <w:rPr>
          <w:rFonts w:ascii="Times New Roman" w:cs="Times New Roman" w:eastAsia="Times New Roman" w:hAnsi="Times New Roman"/>
          <w:sz w:val="18"/>
          <w:szCs w:val="18"/>
          <w:color w:val="auto"/>
        </w:rPr>
        <w:t>4.2 from the date the Option Holder ceases to be an Eligible Employee of the Company or of any Qualifying Subsidiary in accordance with Rule 6.2 (b) (except to the extent provided in Rule 6.2 (b) and Rule 7) and Rule 6.2 (b) shall be deemed to refer to the Option Holder ceasing to be an “Eligible Employee”;</w:t>
      </w:r>
    </w:p>
    <w:p>
      <w:pPr>
        <w:spacing w:after="0" w:line="176"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4.3  following a Change of Control or a Sale of the Company except to the extent provided in Rule 8;</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4.4  following the commencement of the winding up of the Company as set out in Rule 9.</w:t>
      </w:r>
    </w:p>
    <w:p>
      <w:pPr>
        <w:spacing w:after="0" w:line="225" w:lineRule="exact"/>
        <w:rPr>
          <w:sz w:val="20"/>
          <w:szCs w:val="20"/>
          <w:color w:val="auto"/>
        </w:rPr>
      </w:pPr>
    </w:p>
    <w:p>
      <w:pPr>
        <w:jc w:val="both"/>
        <w:ind w:left="748"/>
        <w:spacing w:after="0" w:line="258" w:lineRule="auto"/>
        <w:rPr>
          <w:sz w:val="20"/>
          <w:szCs w:val="20"/>
          <w:color w:val="auto"/>
        </w:rPr>
      </w:pPr>
      <w:r>
        <w:rPr>
          <w:rFonts w:ascii="Times New Roman" w:cs="Times New Roman" w:eastAsia="Times New Roman" w:hAnsi="Times New Roman"/>
          <w:sz w:val="18"/>
          <w:szCs w:val="18"/>
          <w:color w:val="auto"/>
        </w:rPr>
        <w:t>provided that in the case of sub-clause 4.3 above where options have not vested in accordance with any of clauses 3.1 (a) to (d) prior to the occurrence of a Change of Control or Sale and where the vesting conditions to any such options are thereafter satisfied on the relevant vesting anniversaries occurring after the Change of Control or Sale (a “</w:t>
      </w:r>
      <w:r>
        <w:rPr>
          <w:rFonts w:ascii="Times New Roman" w:cs="Times New Roman" w:eastAsia="Times New Roman" w:hAnsi="Times New Roman"/>
          <w:sz w:val="18"/>
          <w:szCs w:val="18"/>
          <w:b w:val="1"/>
          <w:bCs w:val="1"/>
          <w:color w:val="auto"/>
        </w:rPr>
        <w:t>Post Event Vested Option</w:t>
      </w:r>
      <w:r>
        <w:rPr>
          <w:rFonts w:ascii="Times New Roman" w:cs="Times New Roman" w:eastAsia="Times New Roman" w:hAnsi="Times New Roman"/>
          <w:sz w:val="18"/>
          <w:szCs w:val="18"/>
          <w:color w:val="auto"/>
        </w:rPr>
        <w:t>”) the Option Holder shall remain entitled to exercise the Post Event Vested Option within the period of 30 days following the date of it becoming vested and Rule 8 shall be interpreted accordingly. Where the Post Event Vested Option is not so exercised within the period of 30 days following the date of it becoming so vested it shall lapse.</w:t>
      </w:r>
    </w:p>
    <w:p>
      <w:pPr>
        <w:spacing w:after="0" w:line="183" w:lineRule="exact"/>
        <w:rPr>
          <w:sz w:val="20"/>
          <w:szCs w:val="20"/>
          <w:color w:val="auto"/>
        </w:rPr>
      </w:pPr>
    </w:p>
    <w:p>
      <w:pPr>
        <w:ind w:left="368" w:hanging="368"/>
        <w:spacing w:after="0"/>
        <w:tabs>
          <w:tab w:leader="none" w:pos="36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Unapproved Option will lapse on the occurrence of any of the events as set out in Rule 6.2.</w:t>
      </w:r>
    </w:p>
    <w:p>
      <w:pPr>
        <w:spacing w:after="0" w:line="225" w:lineRule="exact"/>
        <w:rPr>
          <w:rFonts w:ascii="Times New Roman" w:cs="Times New Roman" w:eastAsia="Times New Roman" w:hAnsi="Times New Roman"/>
          <w:sz w:val="18"/>
          <w:szCs w:val="18"/>
          <w:color w:val="auto"/>
        </w:rPr>
      </w:pPr>
    </w:p>
    <w:p>
      <w:pPr>
        <w:ind w:left="748" w:right="20" w:hanging="748"/>
        <w:spacing w:after="0" w:line="282" w:lineRule="auto"/>
        <w:tabs>
          <w:tab w:leader="none" w:pos="36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Unapproved Option the Option Holder must lodge with the Company Secretary of the Company (or such other person as the Company may from time to time notify to the employee in writing):</w:t>
      </w:r>
    </w:p>
    <w:p>
      <w:pPr>
        <w:spacing w:after="0" w:line="162"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6.1  this Option Agreement;</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6.2  a duly completed Notice of Exercise in the form appended to this Option Agreement;</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6.3  where required by the Company, a duly completed Joint Election; and</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6.4  a cheque made payable to the Company in respect of the Option Price.</w:t>
      </w:r>
    </w:p>
    <w:p>
      <w:pPr>
        <w:spacing w:after="0" w:line="225" w:lineRule="exact"/>
        <w:rPr>
          <w:sz w:val="20"/>
          <w:szCs w:val="20"/>
          <w:color w:val="auto"/>
        </w:rPr>
      </w:pPr>
    </w:p>
    <w:p>
      <w:pPr>
        <w:ind w:left="368" w:hanging="368"/>
        <w:spacing w:after="0"/>
        <w:tabs>
          <w:tab w:leader="none" w:pos="36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hereby:</w:t>
      </w:r>
    </w:p>
    <w:p>
      <w:pPr>
        <w:spacing w:after="0" w:line="221" w:lineRule="exact"/>
        <w:rPr>
          <w:sz w:val="20"/>
          <w:szCs w:val="20"/>
          <w:color w:val="auto"/>
        </w:rPr>
      </w:pPr>
    </w:p>
    <w:p>
      <w:pPr>
        <w:jc w:val="both"/>
        <w:ind w:left="1488" w:right="240" w:hanging="743"/>
        <w:spacing w:after="0" w:line="268" w:lineRule="auto"/>
        <w:rPr>
          <w:sz w:val="20"/>
          <w:szCs w:val="20"/>
          <w:color w:val="auto"/>
        </w:rPr>
      </w:pPr>
      <w:r>
        <w:rPr>
          <w:rFonts w:ascii="Times New Roman" w:cs="Times New Roman" w:eastAsia="Times New Roman" w:hAnsi="Times New Roman"/>
          <w:sz w:val="18"/>
          <w:szCs w:val="18"/>
          <w:color w:val="auto"/>
        </w:rPr>
        <w:t xml:space="preserve">7.1 covenants with the Company to allow the Company to recover from the Option Holder </w:t>
      </w:r>
      <w:r>
        <w:rPr>
          <w:rFonts w:ascii="Times New Roman" w:cs="Times New Roman" w:eastAsia="Times New Roman" w:hAnsi="Times New Roman"/>
          <w:sz w:val="18"/>
          <w:szCs w:val="18"/>
          <w:b w:val="1"/>
          <w:bCs w:val="1"/>
          <w:color w:val="auto"/>
        </w:rPr>
        <w:t>Tax Liabilities</w:t>
      </w:r>
      <w:r>
        <w:rPr>
          <w:rFonts w:ascii="Times New Roman" w:cs="Times New Roman" w:eastAsia="Times New Roman" w:hAnsi="Times New Roman"/>
          <w:sz w:val="18"/>
          <w:szCs w:val="18"/>
          <w:color w:val="auto"/>
        </w:rPr>
        <w:t xml:space="preserve"> arising in connection with or as a result of the exercise of the Unapproved Option and to indemnify and keep indemnified on a continuing basis the Company and any Group Member in respect of such Tax Liabilities and for the purposes of such indemnity:</w:t>
      </w:r>
    </w:p>
    <w:p>
      <w:pPr>
        <w:spacing w:after="0" w:line="175" w:lineRule="exact"/>
        <w:rPr>
          <w:sz w:val="20"/>
          <w:szCs w:val="20"/>
          <w:color w:val="auto"/>
        </w:rPr>
      </w:pPr>
    </w:p>
    <w:p>
      <w:pPr>
        <w:ind w:left="1488" w:right="60" w:hanging="743"/>
        <w:spacing w:after="0" w:line="258" w:lineRule="auto"/>
        <w:rPr>
          <w:sz w:val="20"/>
          <w:szCs w:val="20"/>
          <w:color w:val="auto"/>
        </w:rPr>
      </w:pPr>
      <w:r>
        <w:rPr>
          <w:rFonts w:ascii="Times New Roman" w:cs="Times New Roman" w:eastAsia="Times New Roman" w:hAnsi="Times New Roman"/>
          <w:sz w:val="18"/>
          <w:szCs w:val="18"/>
          <w:color w:val="auto"/>
        </w:rPr>
        <w:t>7.2 hereby authorises the Company to deduct sufficient funds which, in the reasonable opinion of the Board, would be equal to any Tax Liabilities from any payment made to or in respect of the Option Holder by it or any Group Member during the same calendar month or other relevant period in which such Tax Liabilities arise. If there is no such payment made or the Tax Liabilities exceed the amount of such payment the Option Holder hereby agrees to pay the full amount of the Tax Liabilities or any such excess (as the case may be) in cleared funds within seven days of a valid demand by the Company or any Group Member; and</w:t>
      </w:r>
    </w:p>
    <w:p>
      <w:pPr>
        <w:spacing w:after="0" w:line="183" w:lineRule="exact"/>
        <w:rPr>
          <w:sz w:val="20"/>
          <w:szCs w:val="20"/>
          <w:color w:val="auto"/>
        </w:rPr>
      </w:pPr>
    </w:p>
    <w:p>
      <w:pPr>
        <w:ind w:left="1488" w:right="20" w:hanging="743"/>
        <w:spacing w:after="0" w:line="258" w:lineRule="auto"/>
        <w:rPr>
          <w:sz w:val="20"/>
          <w:szCs w:val="20"/>
          <w:color w:val="auto"/>
        </w:rPr>
      </w:pPr>
      <w:r>
        <w:rPr>
          <w:rFonts w:ascii="Times New Roman" w:cs="Times New Roman" w:eastAsia="Times New Roman" w:hAnsi="Times New Roman"/>
          <w:sz w:val="18"/>
          <w:szCs w:val="18"/>
          <w:color w:val="auto"/>
        </w:rPr>
        <w:t>7.3 appoints a member of the Board as his trustee for the purposes of providing the Company or any Group Member (as appropriate) with sufficient funds to recover any Tax Liabilities by receiving on trust or retaining on trust (as the case may be) (out of the total number of Shares to which the Option Holder is entitled following the relevant exercise of the Unapproved Option) the legal title to and selling such number of Shares as, in the reasonable opinion of the Board, is required to realise a cash amount equivalent to the Tax Liabilities and the Option Holder hereby covenants to pay to the Company, should such sale realise a</w:t>
      </w:r>
    </w:p>
    <w:p>
      <w:pPr>
        <w:spacing w:after="0" w:line="205" w:lineRule="exact"/>
        <w:rPr>
          <w:sz w:val="20"/>
          <w:szCs w:val="20"/>
          <w:color w:val="auto"/>
        </w:rPr>
      </w:pPr>
    </w:p>
    <w:p>
      <w:pPr>
        <w:jc w:val="center"/>
        <w:ind w:right="-7"/>
        <w:spacing w:after="0"/>
        <w:rPr>
          <w:sz w:val="20"/>
          <w:szCs w:val="20"/>
          <w:color w:val="auto"/>
        </w:rPr>
      </w:pPr>
      <w:r>
        <w:rPr>
          <w:rFonts w:ascii="Trebuchet MS" w:cs="Trebuchet MS" w:eastAsia="Trebuchet MS" w:hAnsi="Trebuchet MS"/>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489585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8"/>
          </w:cols>
          <w:pgMar w:left="332" w:top="1215" w:right="339" w:bottom="1440" w:gutter="0" w:footer="0" w:header="0"/>
        </w:sectPr>
      </w:pPr>
    </w:p>
    <w:bookmarkStart w:id="270" w:name="page271"/>
    <w:bookmarkEnd w:id="270"/>
    <w:p>
      <w:pPr>
        <w:ind w:left="1488"/>
        <w:spacing w:after="0"/>
        <w:rPr>
          <w:sz w:val="20"/>
          <w:szCs w:val="20"/>
          <w:color w:val="auto"/>
        </w:rPr>
      </w:pPr>
      <w:r>
        <w:rPr>
          <w:rFonts w:ascii="Times New Roman" w:cs="Times New Roman" w:eastAsia="Times New Roman" w:hAnsi="Times New Roman"/>
          <w:sz w:val="18"/>
          <w:szCs w:val="18"/>
          <w:color w:val="auto"/>
        </w:rPr>
        <w:t>cash amount less than the Tax Liabilities, an amount equal to the difference within seven working days of demand by the Company.</w:t>
      </w:r>
    </w:p>
    <w:p>
      <w:pPr>
        <w:spacing w:after="0" w:line="225" w:lineRule="exact"/>
        <w:rPr>
          <w:sz w:val="20"/>
          <w:szCs w:val="20"/>
          <w:color w:val="auto"/>
        </w:rPr>
      </w:pPr>
    </w:p>
    <w:p>
      <w:pPr>
        <w:ind w:left="748" w:hanging="748"/>
        <w:spacing w:after="0" w:line="282" w:lineRule="auto"/>
        <w:tabs>
          <w:tab w:leader="none" w:pos="36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Unapproved Option is exercisable only by the Option Holder (or his personal representatives) and may not be transferred, assigned or charged and the Unapproved Option will lapse on the occasion of any assignment, charge, disposal or other dealing with the rights conveyed by it.</w:t>
      </w:r>
    </w:p>
    <w:p>
      <w:pPr>
        <w:spacing w:after="0" w:line="161" w:lineRule="exact"/>
        <w:rPr>
          <w:rFonts w:ascii="Times New Roman" w:cs="Times New Roman" w:eastAsia="Times New Roman" w:hAnsi="Times New Roman"/>
          <w:sz w:val="18"/>
          <w:szCs w:val="18"/>
          <w:color w:val="auto"/>
        </w:rPr>
      </w:pPr>
    </w:p>
    <w:p>
      <w:pPr>
        <w:ind w:left="748" w:right="340" w:hanging="748"/>
        <w:spacing w:after="0" w:line="282" w:lineRule="auto"/>
        <w:tabs>
          <w:tab w:leader="none" w:pos="36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or will agree the Market Value of a Share for the purposes of this Scheme as at the Date of Grant with HM Revenue and Customs.</w:t>
      </w:r>
    </w:p>
    <w:p>
      <w:pPr>
        <w:spacing w:after="0" w:line="161" w:lineRule="exact"/>
        <w:rPr>
          <w:rFonts w:ascii="Times New Roman" w:cs="Times New Roman" w:eastAsia="Times New Roman" w:hAnsi="Times New Roman"/>
          <w:sz w:val="18"/>
          <w:szCs w:val="18"/>
          <w:color w:val="auto"/>
        </w:rPr>
      </w:pPr>
    </w:p>
    <w:p>
      <w:pPr>
        <w:ind w:left="748" w:right="280" w:hanging="748"/>
        <w:spacing w:after="0" w:line="282" w:lineRule="auto"/>
        <w:tabs>
          <w:tab w:leader="none" w:pos="36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not a party to this deed shall have no right under the Contracts (Rights of Third Parties) Act 1999 to enforce any term of this deed. This clause does not affect any right or remedy of any person which exists or is available otherwise than pursuant to that Act.</w:t>
      </w:r>
    </w:p>
    <w:p>
      <w:pPr>
        <w:spacing w:after="0" w:line="161" w:lineRule="exact"/>
        <w:rPr>
          <w:rFonts w:ascii="Times New Roman" w:cs="Times New Roman" w:eastAsia="Times New Roman" w:hAnsi="Times New Roman"/>
          <w:sz w:val="18"/>
          <w:szCs w:val="18"/>
          <w:color w:val="auto"/>
        </w:rPr>
      </w:pPr>
    </w:p>
    <w:p>
      <w:pPr>
        <w:ind w:left="748" w:right="780" w:hanging="748"/>
        <w:spacing w:after="0" w:line="282" w:lineRule="auto"/>
        <w:tabs>
          <w:tab w:leader="none" w:pos="36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which will be acquired when the Option is exercised are subject to the terms and restrictions set out in the Company’s articles of association, and a copy of the current articles of association is attached.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rebuchet MS" w:cs="Trebuchet MS" w:eastAsia="Trebuchet MS" w:hAnsi="Trebuchet MS"/>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489585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8"/>
          </w:cols>
          <w:pgMar w:left="332" w:top="1215" w:right="339" w:bottom="1440" w:gutter="0" w:footer="0" w:header="0"/>
        </w:sectPr>
      </w:pPr>
    </w:p>
    <w:bookmarkStart w:id="271" w:name="page272"/>
    <w:bookmarkEnd w:id="2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Notice of Exercise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Please read the notes at the foot of his form carefully before completing 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Secretary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NuCana Biomed Limited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the undersigned</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having become entitled so to do, hereby exercise the Unapproved Option referred to in the attached Agreement in respect of Shares comprised in the Unapproved Option upon the terms of the 2016 NuCana Biomed Limited Share Option Scheme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and agree to accept the Shares to be allotted and issued pursuant to this Notice of Exercise subject to and in accordance with the memorandum and articles of association of the Company and hereby request you to place my name on the register of members in respect thereof.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enclose a remittance for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being the aggregate Option Price payable for the Shares in respect of which the Unapproved Option is now exercised, the Option Price (per Share) being [ ].</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understand that income tax and NIC (referred to as a Tax Liabilities in the Rules of the Scheme) may need to be accounted for by the Company to HM Revenue and Customs on this exercise and in respect of which I have indemnified the Company. I further understand that the Company has an obligation to deduct, insofar as possible, the amount of any Tax Liabilities from payments that it makes to me and I authorise the Company to make such deductions from my salary or other payments due to 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tick as appropriate</w:t>
      </w:r>
      <w:r>
        <w:rPr>
          <w:rFonts w:ascii="Times New Roman" w:cs="Times New Roman" w:eastAsia="Times New Roman" w:hAnsi="Times New Roman"/>
          <w:sz w:val="15"/>
          <w:szCs w:val="15"/>
          <w:i w:val="1"/>
          <w:iCs w:val="1"/>
          <w:color w:val="auto"/>
        </w:rPr>
        <w:t>3</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880" w:right="60" w:hanging="432"/>
        <w:spacing w:after="0" w:line="282" w:lineRule="auto"/>
        <w:tabs>
          <w:tab w:leader="none" w:pos="1159" w:val="left"/>
        </w:tabs>
        <w:numPr>
          <w:ilvl w:val="1"/>
          <w:numId w:val="2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wish to make a cash payment to the Company in respect of the outstanding Tax Liabilities (after deduction by the Company) arising from this exercise and enclose a second cheque made payable to the Company for £●.</w:t>
      </w:r>
    </w:p>
    <w:p>
      <w:pPr>
        <w:spacing w:after="0" w:line="53" w:lineRule="exact"/>
        <w:rPr>
          <w:rFonts w:ascii="MS PGothic" w:cs="MS PGothic" w:eastAsia="MS PGothic" w:hAnsi="MS PGothic"/>
          <w:sz w:val="18"/>
          <w:szCs w:val="18"/>
          <w:color w:val="auto"/>
        </w:rPr>
      </w:pPr>
    </w:p>
    <w:p>
      <w:pPr>
        <w:ind w:left="880" w:right="500" w:hanging="432"/>
        <w:spacing w:after="0" w:line="261" w:lineRule="auto"/>
        <w:tabs>
          <w:tab w:leader="none" w:pos="1159" w:val="left"/>
        </w:tabs>
        <w:numPr>
          <w:ilvl w:val="1"/>
          <w:numId w:val="2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authorise the Company to retain and to sell on my behalf sufficient Shares so as to realise an amount sufficient to discharge the Tax Liabilities arising from this exercise.</w:t>
      </w:r>
    </w:p>
    <w:p>
      <w:pPr>
        <w:ind w:left="380" w:right="40" w:hanging="744"/>
        <w:spacing w:after="0" w:line="253" w:lineRule="auto"/>
        <w:rPr>
          <w:rFonts w:ascii="MS PGothic" w:cs="MS PGothic" w:eastAsia="MS PGothic" w:hAnsi="MS PGothic"/>
          <w:sz w:val="18"/>
          <w:szCs w:val="18"/>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Although the Option referred to overleaf is personal to the holder named overleaf it may be exercised by his personal representative(s) if he dies while the Option is still capable of exercise provided the personal representative(s) does/do so before the expiration of 12 months from the date of the Option Holder’s death or 10 years from the date of its grant (if sooner). If there are more than one, each of the personal representatives must sign this form. A copy of the Grant of Probate must be provided with the completed Notice of Exercise.</w:t>
      </w:r>
    </w:p>
    <w:p>
      <w:pPr>
        <w:spacing w:after="0" w:line="189" w:lineRule="exact"/>
        <w:rPr>
          <w:sz w:val="20"/>
          <w:szCs w:val="20"/>
          <w:color w:val="auto"/>
        </w:rPr>
      </w:pPr>
    </w:p>
    <w:p>
      <w:pPr>
        <w:ind w:left="380" w:hanging="368"/>
        <w:spacing w:after="0"/>
        <w:tabs>
          <w:tab w:leader="none" w:pos="380"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remittance should be for an amount equal to the Option Price per Share shown overleaf, multiplied by the number of Shares applied for.</w:t>
      </w:r>
    </w:p>
    <w:p>
      <w:pPr>
        <w:spacing w:after="0" w:line="225" w:lineRule="exact"/>
        <w:rPr>
          <w:sz w:val="20"/>
          <w:szCs w:val="20"/>
          <w:color w:val="auto"/>
        </w:rPr>
      </w:pPr>
    </w:p>
    <w:p>
      <w:pPr>
        <w:ind w:left="760" w:right="120" w:hanging="748"/>
        <w:spacing w:after="0" w:line="266" w:lineRule="auto"/>
        <w:tabs>
          <w:tab w:leader="none" w:pos="376"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Please tick the appropriate box. If you fail to tick a box or if you tick the first box but your cash payment or next month’s salary are insufficient to cover the full liability, the Company will retain and sell sufficient shares to cover the liability or shortfall or will withhold the transferring of the shares to you until the full tax liabilities have been met by you.</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applicable, I hereby request you to despatch a balance certificate for the Unapproved Option to subscribe for any Shares included in the Unapproved Option referred to overleaf and not exercised on this occasion, by post at my risk to the address mentioned below.</w:t>
      </w:r>
    </w:p>
    <w:p>
      <w:pPr>
        <w:spacing w:after="0" w:line="16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2286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-7620</wp:posOffset>
            </wp:positionV>
            <wp:extent cx="2286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-19050</wp:posOffset>
            </wp:positionV>
            <wp:extent cx="2286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-19050</wp:posOffset>
            </wp:positionV>
            <wp:extent cx="2286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-19050</wp:posOffset>
            </wp:positionV>
            <wp:extent cx="2286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4">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117475</wp:posOffset>
            </wp:positionV>
            <wp:extent cx="2286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5">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254635</wp:posOffset>
            </wp:positionV>
            <wp:extent cx="2286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6">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391795</wp:posOffset>
            </wp:positionV>
            <wp:extent cx="2286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signed this Agreement on the date specified above:</w:t>
      </w:r>
    </w:p>
    <w:p>
      <w:pPr>
        <w:spacing w:after="0" w:line="22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but not delivered until the date hereof</w:t>
        <w:tab/>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xml:space="preserve"> )</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Director</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Director/Secretary</w:t>
      </w:r>
    </w:p>
    <w:p>
      <w:pPr>
        <w:spacing w:after="0" w:line="22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but not delivered until the date hereof</w:t>
        <w:tab/>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-7620</wp:posOffset>
            </wp:positionV>
            <wp:extent cx="2286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-19050</wp:posOffset>
            </wp:positionV>
            <wp:extent cx="2286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117475</wp:posOffset>
            </wp:positionV>
            <wp:extent cx="22860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254635</wp:posOffset>
            </wp:positionV>
            <wp:extent cx="2286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391795</wp:posOffset>
            </wp:positionV>
            <wp:extent cx="2286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20"/>
        <w:spacing w:after="0"/>
        <w:rPr>
          <w:sz w:val="20"/>
          <w:szCs w:val="20"/>
          <w:color w:val="auto"/>
        </w:rPr>
      </w:pPr>
      <w:r>
        <w:rPr>
          <w:rFonts w:ascii="Trebuchet MS" w:cs="Trebuchet MS" w:eastAsia="Trebuchet MS" w:hAnsi="Trebuchet MS"/>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1" w:right="1440" w:bottom="1440" w:gutter="0" w:footer="0" w:header="0"/>
        </w:sectPr>
      </w:pPr>
    </w:p>
    <w:bookmarkStart w:id="273" w:name="page274"/>
    <w:bookmarkEnd w:id="273"/>
    <w:p>
      <w:pPr>
        <w:ind w:left="4540"/>
        <w:spacing w:after="0"/>
        <w:rPr>
          <w:sz w:val="20"/>
          <w:szCs w:val="20"/>
          <w:color w:val="auto"/>
        </w:rPr>
      </w:pPr>
      <w:r>
        <w:rPr>
          <w:rFonts w:ascii="Times New Roman" w:cs="Times New Roman" w:eastAsia="Times New Roman" w:hAnsi="Times New Roman"/>
          <w:sz w:val="18"/>
          <w:szCs w:val="18"/>
          <w:b w:val="1"/>
          <w:bCs w:val="1"/>
          <w:color w:val="auto"/>
        </w:rPr>
        <w:t>Form of Option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which is in the form of a deed is made the [●] day of [●]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ind w:left="380" w:hanging="368"/>
        <w:spacing w:after="0"/>
        <w:tabs>
          <w:tab w:leader="none" w:pos="3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NuCana Biomed Limited </w:t>
      </w:r>
      <w:r>
        <w:rPr>
          <w:rFonts w:ascii="Times New Roman" w:cs="Times New Roman" w:eastAsia="Times New Roman" w:hAnsi="Times New Roman"/>
          <w:sz w:val="18"/>
          <w:szCs w:val="18"/>
          <w:color w:val="auto"/>
        </w:rPr>
        <w:t>(03308778 ) whose registered office is at 77-78 Cannon Street, London, England, EC4N 6AF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80" w:hanging="368"/>
        <w:spacing w:after="0"/>
        <w:tabs>
          <w:tab w:leader="none" w:pos="3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name] of [employee address] who will become “</w:t>
      </w:r>
      <w:r>
        <w:rPr>
          <w:rFonts w:ascii="Times New Roman" w:cs="Times New Roman" w:eastAsia="Times New Roman" w:hAnsi="Times New Roman"/>
          <w:sz w:val="18"/>
          <w:szCs w:val="18"/>
          <w:b w:val="1"/>
          <w:bCs w:val="1"/>
          <w:color w:val="auto"/>
        </w:rPr>
        <w:t>the Option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760" w:right="340" w:hanging="748"/>
        <w:spacing w:after="0" w:line="282" w:lineRule="auto"/>
        <w:tabs>
          <w:tab w:leader="none" w:pos="37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EMI Option is granted subject to the rules of the 2016 NuCana Biomed Limited Share Option Scheme, and is granted pursuant to Schedule 5 ITEPA 2003 (</w:t>
      </w:r>
      <w:r>
        <w:rPr>
          <w:rFonts w:ascii="Times New Roman" w:cs="Times New Roman" w:eastAsia="Times New Roman" w:hAnsi="Times New Roman"/>
          <w:sz w:val="18"/>
          <w:szCs w:val="18"/>
          <w:b w:val="1"/>
          <w:bCs w:val="1"/>
          <w:color w:val="auto"/>
        </w:rPr>
        <w:t>“the Scheme”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60" w:right="300" w:hanging="748"/>
        <w:spacing w:after="0" w:line="282" w:lineRule="auto"/>
        <w:tabs>
          <w:tab w:leader="none" w:pos="37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rules which is appended to this Agreement provides for the grant of options for commercial reasons in order to recruit and retain key employees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380" w:hanging="368"/>
        <w:spacing w:after="0"/>
        <w:tabs>
          <w:tab w:leader="none" w:pos="3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commenced employment with the Company on [●] (“</w:t>
      </w:r>
      <w:r>
        <w:rPr>
          <w:rFonts w:ascii="Times New Roman" w:cs="Times New Roman" w:eastAsia="Times New Roman" w:hAnsi="Times New Roman"/>
          <w:sz w:val="18"/>
          <w:szCs w:val="18"/>
          <w:b w:val="1"/>
          <w:bCs w:val="1"/>
          <w:color w:val="auto"/>
        </w:rPr>
        <w:t>the Commencement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THIS AGREEMENT WITNESSES</w:t>
      </w:r>
    </w:p>
    <w:p>
      <w:pPr>
        <w:spacing w:after="0" w:line="229" w:lineRule="exact"/>
        <w:rPr>
          <w:sz w:val="20"/>
          <w:szCs w:val="20"/>
          <w:color w:val="auto"/>
        </w:rPr>
      </w:pPr>
    </w:p>
    <w:p>
      <w:pPr>
        <w:ind w:left="380" w:hanging="368"/>
        <w:spacing w:after="0"/>
        <w:tabs>
          <w:tab w:leader="none" w:pos="3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the definitions in the Rules shall apply.</w:t>
      </w:r>
    </w:p>
    <w:p>
      <w:pPr>
        <w:spacing w:after="0" w:line="225" w:lineRule="exact"/>
        <w:rPr>
          <w:rFonts w:ascii="Times New Roman" w:cs="Times New Roman" w:eastAsia="Times New Roman" w:hAnsi="Times New Roman"/>
          <w:sz w:val="18"/>
          <w:szCs w:val="18"/>
          <w:color w:val="auto"/>
        </w:rPr>
      </w:pPr>
    </w:p>
    <w:p>
      <w:pPr>
        <w:ind w:left="380" w:hanging="368"/>
        <w:spacing w:after="0"/>
        <w:tabs>
          <w:tab w:leader="none" w:pos="3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Option Holder the EMI Option to acquire a maximum of [●] Shares, at an Option Price of [●] per Share.</w:t>
      </w:r>
    </w:p>
    <w:p>
      <w:pPr>
        <w:spacing w:after="0" w:line="22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Exercise</w:t>
      </w:r>
    </w:p>
    <w:p>
      <w:pPr>
        <w:spacing w:after="0" w:line="22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The options shall be exercisable as follows:</w:t>
      </w:r>
    </w:p>
    <w:p>
      <w:pPr>
        <w:spacing w:after="0" w:line="221" w:lineRule="exact"/>
        <w:rPr>
          <w:rFonts w:ascii="Times New Roman" w:cs="Times New Roman" w:eastAsia="Times New Roman" w:hAnsi="Times New Roman"/>
          <w:sz w:val="18"/>
          <w:szCs w:val="18"/>
          <w:color w:val="auto"/>
        </w:rPr>
      </w:pPr>
    </w:p>
    <w:p>
      <w:pPr>
        <w:ind w:left="760" w:right="880" w:hanging="3"/>
        <w:spacing w:after="0" w:line="286" w:lineRule="auto"/>
        <w:tabs>
          <w:tab w:leader="none" w:pos="11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over [●] Shares may be exercised at any time after the date falling 12 months from the Commencement Date (“</w:t>
      </w:r>
      <w:r>
        <w:rPr>
          <w:rFonts w:ascii="Times New Roman" w:cs="Times New Roman" w:eastAsia="Times New Roman" w:hAnsi="Times New Roman"/>
          <w:sz w:val="18"/>
          <w:szCs w:val="18"/>
          <w:b w:val="1"/>
          <w:bCs w:val="1"/>
          <w:color w:val="auto"/>
        </w:rPr>
        <w:t>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First Anniversary;</w:t>
      </w:r>
    </w:p>
    <w:p>
      <w:pPr>
        <w:spacing w:after="0" w:line="154" w:lineRule="exact"/>
        <w:rPr>
          <w:rFonts w:ascii="Times New Roman" w:cs="Times New Roman" w:eastAsia="Times New Roman" w:hAnsi="Times New Roman"/>
          <w:sz w:val="18"/>
          <w:szCs w:val="18"/>
          <w:color w:val="auto"/>
        </w:rPr>
      </w:pPr>
    </w:p>
    <w:p>
      <w:pPr>
        <w:ind w:left="760" w:right="40" w:hanging="3"/>
        <w:spacing w:after="0" w:line="286" w:lineRule="auto"/>
        <w:tabs>
          <w:tab w:leader="none" w:pos="11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over a further [●] Shares may be exercised at any time after the date falling 24 months from the Commencement Date (“</w:t>
      </w:r>
      <w:r>
        <w:rPr>
          <w:rFonts w:ascii="Times New Roman" w:cs="Times New Roman" w:eastAsia="Times New Roman" w:hAnsi="Times New Roman"/>
          <w:sz w:val="18"/>
          <w:szCs w:val="18"/>
          <w:b w:val="1"/>
          <w:bCs w:val="1"/>
          <w:color w:val="auto"/>
        </w:rPr>
        <w:t>the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Second Anniversary;</w:t>
      </w:r>
    </w:p>
    <w:p>
      <w:pPr>
        <w:spacing w:after="0" w:line="154" w:lineRule="exact"/>
        <w:rPr>
          <w:rFonts w:ascii="Times New Roman" w:cs="Times New Roman" w:eastAsia="Times New Roman" w:hAnsi="Times New Roman"/>
          <w:sz w:val="18"/>
          <w:szCs w:val="18"/>
          <w:color w:val="auto"/>
        </w:rPr>
      </w:pPr>
    </w:p>
    <w:p>
      <w:pPr>
        <w:ind w:left="760" w:right="140" w:hanging="3"/>
        <w:spacing w:after="0" w:line="286" w:lineRule="auto"/>
        <w:tabs>
          <w:tab w:leader="none" w:pos="11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over a further [●] Shares may be exercised at any time after the date falling 36 months from the Commencement Date (“</w:t>
      </w:r>
      <w:r>
        <w:rPr>
          <w:rFonts w:ascii="Times New Roman" w:cs="Times New Roman" w:eastAsia="Times New Roman" w:hAnsi="Times New Roman"/>
          <w:sz w:val="18"/>
          <w:szCs w:val="18"/>
          <w:b w:val="1"/>
          <w:bCs w:val="1"/>
          <w:color w:val="auto"/>
        </w:rPr>
        <w:t>the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Third Anniversary;</w:t>
      </w:r>
    </w:p>
    <w:p>
      <w:pPr>
        <w:spacing w:after="0" w:line="154" w:lineRule="exact"/>
        <w:rPr>
          <w:rFonts w:ascii="Times New Roman" w:cs="Times New Roman" w:eastAsia="Times New Roman" w:hAnsi="Times New Roman"/>
          <w:sz w:val="18"/>
          <w:szCs w:val="18"/>
          <w:color w:val="auto"/>
        </w:rPr>
      </w:pPr>
    </w:p>
    <w:p>
      <w:pPr>
        <w:ind w:left="760" w:right="440" w:hanging="3"/>
        <w:spacing w:after="0" w:line="286" w:lineRule="auto"/>
        <w:tabs>
          <w:tab w:leader="none" w:pos="11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the final [●] Shares may be exercised at any time after the date falling 48 months from the Commencement Date (“</w:t>
      </w:r>
      <w:r>
        <w:rPr>
          <w:rFonts w:ascii="Times New Roman" w:cs="Times New Roman" w:eastAsia="Times New Roman" w:hAnsi="Times New Roman"/>
          <w:sz w:val="18"/>
          <w:szCs w:val="18"/>
          <w:b w:val="1"/>
          <w:bCs w:val="1"/>
          <w:color w:val="auto"/>
        </w:rPr>
        <w:t>the Fourth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Anniversary</w:t>
      </w:r>
      <w:r>
        <w:rPr>
          <w:rFonts w:ascii="Times New Roman" w:cs="Times New Roman" w:eastAsia="Times New Roman" w:hAnsi="Times New Roman"/>
          <w:sz w:val="18"/>
          <w:szCs w:val="18"/>
          <w:color w:val="auto"/>
        </w:rPr>
        <w:t>”) provided the Option Holder is an Eligible Employee on the Fourth Anniversary;</w:t>
      </w:r>
    </w:p>
    <w:p>
      <w:pPr>
        <w:spacing w:after="0" w:line="15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color w:val="auto"/>
        </w:rPr>
        <w:t>and where options become exerciseable in accordance with the foregoing they shall be referred to as having “</w:t>
      </w:r>
      <w:r>
        <w:rPr>
          <w:rFonts w:ascii="Times New Roman" w:cs="Times New Roman" w:eastAsia="Times New Roman" w:hAnsi="Times New Roman"/>
          <w:sz w:val="18"/>
          <w:szCs w:val="18"/>
          <w:b w:val="1"/>
          <w:bCs w:val="1"/>
          <w:color w:val="auto"/>
        </w:rPr>
        <w:t>vested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vest</w:t>
      </w:r>
      <w:r>
        <w:rPr>
          <w:rFonts w:ascii="Times New Roman" w:cs="Times New Roman" w:eastAsia="Times New Roman" w:hAnsi="Times New Roman"/>
          <w:sz w:val="18"/>
          <w:szCs w:val="18"/>
          <w:color w:val="auto"/>
        </w:rPr>
        <w:t>” and those which are not exerciseable shall be referred to as “</w:t>
      </w:r>
      <w:r>
        <w:rPr>
          <w:rFonts w:ascii="Times New Roman" w:cs="Times New Roman" w:eastAsia="Times New Roman" w:hAnsi="Times New Roman"/>
          <w:sz w:val="18"/>
          <w:szCs w:val="18"/>
          <w:b w:val="1"/>
          <w:bCs w:val="1"/>
          <w:color w:val="auto"/>
        </w:rPr>
        <w:t>unvested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3.2  Upon the Option Holder ceasing to be an Eligible Employee for any reason all options which are unvested shall lapse forthwith.</w:t>
      </w:r>
    </w:p>
    <w:p>
      <w:pPr>
        <w:spacing w:after="0" w:line="225" w:lineRule="exact"/>
        <w:rPr>
          <w:sz w:val="20"/>
          <w:szCs w:val="20"/>
          <w:color w:val="auto"/>
        </w:rPr>
      </w:pPr>
    </w:p>
    <w:p>
      <w:pPr>
        <w:ind w:left="1500" w:right="280" w:hanging="743"/>
        <w:spacing w:after="0" w:line="282" w:lineRule="auto"/>
        <w:rPr>
          <w:sz w:val="20"/>
          <w:szCs w:val="20"/>
          <w:color w:val="auto"/>
        </w:rPr>
      </w:pPr>
      <w:r>
        <w:rPr>
          <w:rFonts w:ascii="Times New Roman" w:cs="Times New Roman" w:eastAsia="Times New Roman" w:hAnsi="Times New Roman"/>
          <w:sz w:val="18"/>
          <w:szCs w:val="18"/>
          <w:color w:val="auto"/>
        </w:rPr>
        <w:t>3.3 All unvested options which have not lapsed in accordance with clause 3.2 shall immediately vest if following a Change of Control of the Company (as defined in the Rules):-</w:t>
      </w:r>
    </w:p>
    <w:p>
      <w:pPr>
        <w:spacing w:after="0" w:line="162" w:lineRule="exact"/>
        <w:rPr>
          <w:sz w:val="20"/>
          <w:szCs w:val="20"/>
          <w:color w:val="auto"/>
        </w:rPr>
      </w:pPr>
    </w:p>
    <w:p>
      <w:pPr>
        <w:ind w:left="1860" w:hanging="350"/>
        <w:spacing w:after="0"/>
        <w:tabs>
          <w:tab w:leader="none" w:pos="18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remains an Eligible Employee; and</w:t>
      </w:r>
    </w:p>
    <w:p>
      <w:pPr>
        <w:spacing w:after="0" w:line="225" w:lineRule="exact"/>
        <w:rPr>
          <w:rFonts w:ascii="Times New Roman" w:cs="Times New Roman" w:eastAsia="Times New Roman" w:hAnsi="Times New Roman"/>
          <w:sz w:val="18"/>
          <w:szCs w:val="18"/>
          <w:color w:val="auto"/>
        </w:rPr>
      </w:pPr>
    </w:p>
    <w:p>
      <w:pPr>
        <w:ind w:left="1860" w:hanging="350"/>
        <w:spacing w:after="0"/>
        <w:tabs>
          <w:tab w:leader="none" w:pos="18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following conditions is also satisfied:-</w:t>
      </w:r>
    </w:p>
    <w:p>
      <w:pPr>
        <w:spacing w:after="0" w:line="247"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4" w:name="page275"/>
    <w:bookmarkEnd w:id="274"/>
    <w:p>
      <w:pPr>
        <w:ind w:left="2988" w:right="300" w:hanging="735"/>
        <w:spacing w:after="0" w:line="282" w:lineRule="auto"/>
        <w:tabs>
          <w:tab w:leader="none" w:pos="260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has experienced a material reduction in his base compensation payable on or around the Date of Grant or as the same may be increased from time to time; or</w:t>
      </w:r>
    </w:p>
    <w:p>
      <w:pPr>
        <w:spacing w:after="0" w:line="161" w:lineRule="exact"/>
        <w:rPr>
          <w:rFonts w:ascii="Times New Roman" w:cs="Times New Roman" w:eastAsia="Times New Roman" w:hAnsi="Times New Roman"/>
          <w:sz w:val="18"/>
          <w:szCs w:val="18"/>
          <w:color w:val="auto"/>
        </w:rPr>
      </w:pPr>
    </w:p>
    <w:p>
      <w:pPr>
        <w:ind w:left="2988" w:right="40" w:hanging="735"/>
        <w:spacing w:after="0" w:line="261" w:lineRule="auto"/>
        <w:tabs>
          <w:tab w:leader="none" w:pos="260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has experienced a material change or reduction in his authority, duties, reporting or responsibilities, provided, however, that a change in job title shall not be deemed a “material reduction” unless the Option Holder’s new authority, duties, reporting or responsibilities are substantially changed or reduced] from the prior authority, duties, reporting or responsibilities.</w:t>
      </w:r>
    </w:p>
    <w:p>
      <w:pPr>
        <w:spacing w:after="0" w:line="179"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EMI Option may not be exercised:</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4.1  after the time in Rule 6.2(a);</w:t>
      </w:r>
    </w:p>
    <w:p>
      <w:pPr>
        <w:spacing w:after="0" w:line="225" w:lineRule="exact"/>
        <w:rPr>
          <w:sz w:val="20"/>
          <w:szCs w:val="20"/>
          <w:color w:val="auto"/>
        </w:rPr>
      </w:pPr>
    </w:p>
    <w:p>
      <w:pPr>
        <w:ind w:left="1488" w:right="100" w:hanging="743"/>
        <w:spacing w:after="0" w:line="282" w:lineRule="auto"/>
        <w:rPr>
          <w:sz w:val="20"/>
          <w:szCs w:val="20"/>
          <w:color w:val="auto"/>
        </w:rPr>
      </w:pPr>
      <w:r>
        <w:rPr>
          <w:rFonts w:ascii="Times New Roman" w:cs="Times New Roman" w:eastAsia="Times New Roman" w:hAnsi="Times New Roman"/>
          <w:sz w:val="18"/>
          <w:szCs w:val="18"/>
          <w:color w:val="auto"/>
        </w:rPr>
        <w:t>4.2 from the date the Option Holder ceases to be an employee of the Company or of any Qualifying Subsidiary in accordance with Rule 6.2 (b) (except to the extent provided in Rule 6.2 (b) and Rule 7);</w:t>
      </w:r>
    </w:p>
    <w:p>
      <w:pPr>
        <w:spacing w:after="0" w:line="162"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4.3  following a Change of Control or a Sale of the Company except to the extent provided in Rule 8;</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4.4  following the commencement of the winding up of the Company as set out in Rule 9.</w:t>
      </w:r>
    </w:p>
    <w:p>
      <w:pPr>
        <w:spacing w:after="0" w:line="225" w:lineRule="exact"/>
        <w:rPr>
          <w:sz w:val="20"/>
          <w:szCs w:val="20"/>
          <w:color w:val="auto"/>
        </w:rPr>
      </w:pPr>
    </w:p>
    <w:p>
      <w:pPr>
        <w:jc w:val="both"/>
        <w:ind w:left="748"/>
        <w:spacing w:after="0" w:line="258" w:lineRule="auto"/>
        <w:rPr>
          <w:sz w:val="20"/>
          <w:szCs w:val="20"/>
          <w:color w:val="auto"/>
        </w:rPr>
      </w:pPr>
      <w:r>
        <w:rPr>
          <w:rFonts w:ascii="Times New Roman" w:cs="Times New Roman" w:eastAsia="Times New Roman" w:hAnsi="Times New Roman"/>
          <w:sz w:val="18"/>
          <w:szCs w:val="18"/>
          <w:color w:val="auto"/>
        </w:rPr>
        <w:t>provided that in the case of sub-clause 4.3 above where options have not vested in accordance with any of clauses 3.1 (a) to (d) prior to the occurrence of a Change of Control or Sale and where the vesting conditions to any such options are thereafter satisfied on the relevant vesting anniversaries occurring after the Change of Control or Sale (a “</w:t>
      </w:r>
      <w:r>
        <w:rPr>
          <w:rFonts w:ascii="Times New Roman" w:cs="Times New Roman" w:eastAsia="Times New Roman" w:hAnsi="Times New Roman"/>
          <w:sz w:val="18"/>
          <w:szCs w:val="18"/>
          <w:b w:val="1"/>
          <w:bCs w:val="1"/>
          <w:color w:val="auto"/>
        </w:rPr>
        <w:t>Post Event Vested Option</w:t>
      </w:r>
      <w:r>
        <w:rPr>
          <w:rFonts w:ascii="Times New Roman" w:cs="Times New Roman" w:eastAsia="Times New Roman" w:hAnsi="Times New Roman"/>
          <w:sz w:val="18"/>
          <w:szCs w:val="18"/>
          <w:color w:val="auto"/>
        </w:rPr>
        <w:t>”) the Option Holder shall remain entitled to exercise the Post Event Vested Option within the period of 30 days following the date of it becoming vested and Rule 8 shall be interpreted accordingly. Where the Post Event Vested Option is not so exercised within the period of 30 days following the date of it becoming so vested it shall lapse.</w:t>
      </w:r>
    </w:p>
    <w:p>
      <w:pPr>
        <w:spacing w:after="0" w:line="183" w:lineRule="exact"/>
        <w:rPr>
          <w:sz w:val="20"/>
          <w:szCs w:val="20"/>
          <w:color w:val="auto"/>
        </w:rPr>
      </w:pPr>
    </w:p>
    <w:p>
      <w:pPr>
        <w:ind w:left="368" w:hanging="368"/>
        <w:spacing w:after="0"/>
        <w:tabs>
          <w:tab w:leader="none" w:pos="36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EMI Option will lapse on the occurrence of any of the events as set out in Rule 6.2.</w:t>
      </w:r>
    </w:p>
    <w:p>
      <w:pPr>
        <w:spacing w:after="0" w:line="225" w:lineRule="exact"/>
        <w:rPr>
          <w:rFonts w:ascii="Times New Roman" w:cs="Times New Roman" w:eastAsia="Times New Roman" w:hAnsi="Times New Roman"/>
          <w:sz w:val="18"/>
          <w:szCs w:val="18"/>
          <w:color w:val="auto"/>
        </w:rPr>
      </w:pPr>
    </w:p>
    <w:p>
      <w:pPr>
        <w:ind w:left="748" w:right="220" w:hanging="748"/>
        <w:spacing w:after="0" w:line="282" w:lineRule="auto"/>
        <w:tabs>
          <w:tab w:leader="none" w:pos="36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EMI Option the Option Holder must lodge with the Company Secretary of the Company (or such other person as the Company may from time to time notify to the employee in writing):</w:t>
      </w:r>
    </w:p>
    <w:p>
      <w:pPr>
        <w:spacing w:after="0" w:line="162"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6.1  this Option Agreement;</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6.2  a duly completed Notice of Exercise in the form appended to this Option Agreement;</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6.3  where required by the Company, a duly completed Joint Election; and</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6.4  a cheque made payable to the Company in respect of the Option Price.</w:t>
      </w:r>
    </w:p>
    <w:p>
      <w:pPr>
        <w:spacing w:after="0" w:line="225" w:lineRule="exact"/>
        <w:rPr>
          <w:sz w:val="20"/>
          <w:szCs w:val="20"/>
          <w:color w:val="auto"/>
        </w:rPr>
      </w:pPr>
    </w:p>
    <w:p>
      <w:pPr>
        <w:ind w:left="368" w:hanging="368"/>
        <w:spacing w:after="0"/>
        <w:tabs>
          <w:tab w:leader="none" w:pos="3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Holder hereby:</w:t>
      </w:r>
    </w:p>
    <w:p>
      <w:pPr>
        <w:spacing w:after="0" w:line="221" w:lineRule="exact"/>
        <w:rPr>
          <w:sz w:val="20"/>
          <w:szCs w:val="20"/>
          <w:color w:val="auto"/>
        </w:rPr>
      </w:pPr>
    </w:p>
    <w:p>
      <w:pPr>
        <w:jc w:val="both"/>
        <w:ind w:left="1488" w:right="280" w:hanging="743"/>
        <w:spacing w:after="0" w:line="268" w:lineRule="auto"/>
        <w:rPr>
          <w:sz w:val="20"/>
          <w:szCs w:val="20"/>
          <w:color w:val="auto"/>
        </w:rPr>
      </w:pPr>
      <w:r>
        <w:rPr>
          <w:rFonts w:ascii="Times New Roman" w:cs="Times New Roman" w:eastAsia="Times New Roman" w:hAnsi="Times New Roman"/>
          <w:sz w:val="18"/>
          <w:szCs w:val="18"/>
          <w:color w:val="auto"/>
        </w:rPr>
        <w:t xml:space="preserve">7.1 covenants with the Company to allow the Company to recover from the Option Holder </w:t>
      </w:r>
      <w:r>
        <w:rPr>
          <w:rFonts w:ascii="Times New Roman" w:cs="Times New Roman" w:eastAsia="Times New Roman" w:hAnsi="Times New Roman"/>
          <w:sz w:val="18"/>
          <w:szCs w:val="18"/>
          <w:b w:val="1"/>
          <w:bCs w:val="1"/>
          <w:color w:val="auto"/>
        </w:rPr>
        <w:t>Tax Liabilities</w:t>
      </w:r>
      <w:r>
        <w:rPr>
          <w:rFonts w:ascii="Times New Roman" w:cs="Times New Roman" w:eastAsia="Times New Roman" w:hAnsi="Times New Roman"/>
          <w:sz w:val="18"/>
          <w:szCs w:val="18"/>
          <w:color w:val="auto"/>
        </w:rPr>
        <w:t xml:space="preserve"> arising in connection with or as a result of the exercise of the EMI Option and to indemnify and keep indemnified on a continuing basis the Company and any Group Member in respect of such Tax Liabilities and for the purposes of such indemnity:</w:t>
      </w:r>
    </w:p>
    <w:p>
      <w:pPr>
        <w:spacing w:after="0" w:line="175" w:lineRule="exact"/>
        <w:rPr>
          <w:sz w:val="20"/>
          <w:szCs w:val="20"/>
          <w:color w:val="auto"/>
        </w:rPr>
      </w:pPr>
    </w:p>
    <w:p>
      <w:pPr>
        <w:ind w:left="1488" w:right="60" w:hanging="743"/>
        <w:spacing w:after="0" w:line="258" w:lineRule="auto"/>
        <w:rPr>
          <w:sz w:val="20"/>
          <w:szCs w:val="20"/>
          <w:color w:val="auto"/>
        </w:rPr>
      </w:pPr>
      <w:r>
        <w:rPr>
          <w:rFonts w:ascii="Times New Roman" w:cs="Times New Roman" w:eastAsia="Times New Roman" w:hAnsi="Times New Roman"/>
          <w:sz w:val="18"/>
          <w:szCs w:val="18"/>
          <w:color w:val="auto"/>
        </w:rPr>
        <w:t>7.2 hereby authorises the Company to deduct sufficient funds which, in the reasonable opinion of the Board, would be equal to any Tax Liabilities from any payment made to or in respect of the Option Holder by it or any Group Member during the same calendar month or other relevant period in which such Tax Liabilities arise. If there is no such payment made or the Tax Liabilities exceed the amount of such payment the Option Holder hereby agrees to pay the full amount of the Tax Liabilities or any such excess (as the case may be) in cleared funds within seven days of a valid demand by the Company or any Group Member; and</w:t>
      </w:r>
    </w:p>
    <w:p>
      <w:pPr>
        <w:spacing w:after="0" w:line="183" w:lineRule="exact"/>
        <w:rPr>
          <w:sz w:val="20"/>
          <w:szCs w:val="20"/>
          <w:color w:val="auto"/>
        </w:rPr>
      </w:pPr>
    </w:p>
    <w:p>
      <w:pPr>
        <w:ind w:left="1488" w:right="140" w:hanging="743"/>
        <w:spacing w:after="0" w:line="258" w:lineRule="auto"/>
        <w:rPr>
          <w:sz w:val="20"/>
          <w:szCs w:val="20"/>
          <w:color w:val="auto"/>
        </w:rPr>
      </w:pPr>
      <w:r>
        <w:rPr>
          <w:rFonts w:ascii="Times New Roman" w:cs="Times New Roman" w:eastAsia="Times New Roman" w:hAnsi="Times New Roman"/>
          <w:sz w:val="18"/>
          <w:szCs w:val="18"/>
          <w:color w:val="auto"/>
        </w:rPr>
        <w:t>7.3 appoints a member of the Board as his trustee for the purposes of providing the Company or any Group Member (as appropriate) with sufficient funds to recover any Tax Liabilities by receiving on trust or retaining on trust (as the case may be) (out of the total number of Shares to which the Option Holder is entitled following the relevant exercise of the EMI Option) the legal title to and selling such number of Shares as, in the reasonable opinion of the Board, is required to realise a cash amount equivalent to the Tax Liabilities and the Option Holder hereby covenants to pay to the Company, should such sale realise a cash</w:t>
      </w:r>
    </w:p>
    <w:p>
      <w:pPr>
        <w:spacing w:after="0" w:line="205" w:lineRule="exact"/>
        <w:rPr>
          <w:sz w:val="20"/>
          <w:szCs w:val="20"/>
          <w:color w:val="auto"/>
        </w:rPr>
      </w:pPr>
    </w:p>
    <w:p>
      <w:pPr>
        <w:jc w:val="center"/>
        <w:ind w:right="-7"/>
        <w:spacing w:after="0"/>
        <w:rPr>
          <w:sz w:val="20"/>
          <w:szCs w:val="20"/>
          <w:color w:val="auto"/>
        </w:rPr>
      </w:pPr>
      <w:r>
        <w:rPr>
          <w:rFonts w:ascii="Trebuchet MS" w:cs="Trebuchet MS" w:eastAsia="Trebuchet MS" w:hAnsi="Trebuchet MS"/>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489585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8"/>
          </w:cols>
          <w:pgMar w:left="332" w:top="1215" w:right="339" w:bottom="1440" w:gutter="0" w:footer="0" w:header="0"/>
        </w:sectPr>
      </w:pPr>
    </w:p>
    <w:bookmarkStart w:id="275" w:name="page276"/>
    <w:bookmarkEnd w:id="275"/>
    <w:p>
      <w:pPr>
        <w:ind w:left="1488"/>
        <w:spacing w:after="0"/>
        <w:rPr>
          <w:sz w:val="20"/>
          <w:szCs w:val="20"/>
          <w:color w:val="auto"/>
        </w:rPr>
      </w:pPr>
      <w:r>
        <w:rPr>
          <w:rFonts w:ascii="Times New Roman" w:cs="Times New Roman" w:eastAsia="Times New Roman" w:hAnsi="Times New Roman"/>
          <w:sz w:val="18"/>
          <w:szCs w:val="18"/>
          <w:color w:val="auto"/>
        </w:rPr>
        <w:t>amount less than the Tax Liabilities, an amount equal to the difference within seven working days of demand by the Company.</w:t>
      </w:r>
    </w:p>
    <w:p>
      <w:pPr>
        <w:spacing w:after="0" w:line="225" w:lineRule="exact"/>
        <w:rPr>
          <w:sz w:val="20"/>
          <w:szCs w:val="20"/>
          <w:color w:val="auto"/>
        </w:rPr>
      </w:pPr>
    </w:p>
    <w:p>
      <w:pPr>
        <w:ind w:left="748" w:right="20" w:hanging="748"/>
        <w:spacing w:after="0" w:line="282" w:lineRule="auto"/>
        <w:tabs>
          <w:tab w:leader="none" w:pos="36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EMI Option is exercisable only by the Option Holder (or his personal representatives) and may not be transferred, assigned or charged and the EMI Option will lapse on the occasion of any assignment, charge, disposal or other dealing with the rights conveyed by it.</w:t>
      </w:r>
    </w:p>
    <w:p>
      <w:pPr>
        <w:spacing w:after="0" w:line="161" w:lineRule="exact"/>
        <w:rPr>
          <w:rFonts w:ascii="Times New Roman" w:cs="Times New Roman" w:eastAsia="Times New Roman" w:hAnsi="Times New Roman"/>
          <w:sz w:val="18"/>
          <w:szCs w:val="18"/>
          <w:color w:val="auto"/>
        </w:rPr>
      </w:pPr>
    </w:p>
    <w:p>
      <w:pPr>
        <w:ind w:left="748" w:right="60" w:hanging="748"/>
        <w:spacing w:after="0" w:line="282" w:lineRule="auto"/>
        <w:tabs>
          <w:tab w:leader="none" w:pos="36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or will agree the Market Value of a Share for the purposes of this Scheme as at the Date of Grant with HM Revenue and Customs.</w:t>
      </w:r>
    </w:p>
    <w:p>
      <w:pPr>
        <w:spacing w:after="0" w:line="161" w:lineRule="exact"/>
        <w:rPr>
          <w:rFonts w:ascii="Times New Roman" w:cs="Times New Roman" w:eastAsia="Times New Roman" w:hAnsi="Times New Roman"/>
          <w:sz w:val="18"/>
          <w:szCs w:val="18"/>
          <w:color w:val="auto"/>
        </w:rPr>
      </w:pPr>
    </w:p>
    <w:p>
      <w:pPr>
        <w:ind w:left="748" w:hanging="748"/>
        <w:spacing w:after="0" w:line="282" w:lineRule="auto"/>
        <w:tabs>
          <w:tab w:leader="none" w:pos="36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not a party to this deed shall have no right under the Contracts (Rights of Third Parties) Act 1999 to enforce any term of this deed. This clause does not affect any right or remedy of any person which exists or is available otherwise than pursuant to that Act.</w:t>
      </w:r>
    </w:p>
    <w:p>
      <w:pPr>
        <w:spacing w:after="0" w:line="161" w:lineRule="exact"/>
        <w:rPr>
          <w:rFonts w:ascii="Times New Roman" w:cs="Times New Roman" w:eastAsia="Times New Roman" w:hAnsi="Times New Roman"/>
          <w:sz w:val="18"/>
          <w:szCs w:val="18"/>
          <w:color w:val="auto"/>
        </w:rPr>
      </w:pPr>
    </w:p>
    <w:p>
      <w:pPr>
        <w:ind w:left="748" w:right="500" w:hanging="748"/>
        <w:spacing w:after="0" w:line="282" w:lineRule="auto"/>
        <w:tabs>
          <w:tab w:leader="none" w:pos="36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which will be acquired when the Option is exercised are subject to the terms and restrictions set out in the Company’s articles of association, and a copy of the current articles of association is attached.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7"/>
        <w:spacing w:after="0"/>
        <w:rPr>
          <w:sz w:val="20"/>
          <w:szCs w:val="20"/>
          <w:color w:val="auto"/>
        </w:rPr>
      </w:pPr>
      <w:r>
        <w:rPr>
          <w:rFonts w:ascii="Trebuchet MS" w:cs="Trebuchet MS" w:eastAsia="Trebuchet MS" w:hAnsi="Trebuchet MS"/>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489585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332" w:top="1215" w:right="619" w:bottom="1440" w:gutter="0" w:footer="0" w:header="0"/>
        </w:sectPr>
      </w:pPr>
    </w:p>
    <w:bookmarkStart w:id="276" w:name="page277"/>
    <w:bookmarkEnd w:id="2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Notice of Exercise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Please read the notes at the foot of his form carefully before completing it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Secretary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NuCana Biomed Limited</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 the undersigned</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having become entitled so to do, hereby exercise the EMI Option referred to in the attached Agreement in respect of Shares comprised in the EMI Option upon the terms of the 2016 NuCana Biomed Limited Share Option Scheme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and agree to accept the Shares to be allotted and issued pursuant to this Notice of Exercise subject to and in accordance with the memorandum and articles of association of the Company and hereby request you to place my name on the register of members in respect thereof.</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enclose a remittance for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being the aggregate Option Price payable for the Shares in respect of which the EMI Option is now exercised, the Option Price (per Share) being [ ].</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understand that income tax and NIC (referred to as a Tax Liabilities in the Rules of the Scheme) may need to be accounted for by the Company to HM Revenue and Customs on this exercise and in respect of which I have indemnified the Company. I further understand that the Company has an obligation to deduct, insofar as possible, the amount of any Tax Liabilities from payments that it makes to me and I authorise the Company to make such deductions from my salary.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tick as appropriate</w:t>
      </w:r>
      <w:r>
        <w:rPr>
          <w:rFonts w:ascii="Times New Roman" w:cs="Times New Roman" w:eastAsia="Times New Roman" w:hAnsi="Times New Roman"/>
          <w:sz w:val="15"/>
          <w:szCs w:val="15"/>
          <w:i w:val="1"/>
          <w:iCs w:val="1"/>
          <w:color w:val="auto"/>
        </w:rPr>
        <w:t>3</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160" w:hanging="712"/>
        <w:spacing w:after="0"/>
        <w:tabs>
          <w:tab w:leader="none" w:pos="1160" w:val="left"/>
        </w:tabs>
        <w:numPr>
          <w:ilvl w:val="0"/>
          <w:numId w:val="2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wish to make a cash payment to the Company in respect of the outstanding Tax Liabilities (after deduction by the Company) arising from</w:t>
      </w: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exercise and enclose a second cheque made payable to the Company for £●.</w:t>
      </w:r>
    </w:p>
    <w:p>
      <w:pPr>
        <w:spacing w:after="0" w:line="7" w:lineRule="exact"/>
        <w:rPr>
          <w:sz w:val="20"/>
          <w:szCs w:val="20"/>
          <w:color w:val="auto"/>
        </w:rPr>
      </w:pPr>
    </w:p>
    <w:p>
      <w:pPr>
        <w:ind w:left="760"/>
        <w:spacing w:after="0" w:line="260" w:lineRule="auto"/>
        <w:rPr>
          <w:sz w:val="20"/>
          <w:szCs w:val="20"/>
          <w:color w:val="auto"/>
        </w:rPr>
      </w:pPr>
      <w:r>
        <w:rPr>
          <w:rFonts w:ascii="Times New Roman" w:cs="Times New Roman" w:eastAsia="Times New Roman" w:hAnsi="Times New Roman"/>
          <w:sz w:val="18"/>
          <w:szCs w:val="18"/>
          <w:color w:val="auto"/>
        </w:rPr>
        <w:t>I authorise the Company to retain and to sell on my behalf sufficient Shares so as to realise an amount sufficient to discharge the Tax Liabilities arising from this exercise.</w:t>
      </w:r>
    </w:p>
    <w:p>
      <w:pPr>
        <w:spacing w:after="0" w:line="181" w:lineRule="exact"/>
        <w:rPr>
          <w:sz w:val="20"/>
          <w:szCs w:val="20"/>
          <w:color w:val="auto"/>
        </w:rPr>
      </w:pPr>
    </w:p>
    <w:p>
      <w:pPr>
        <w:ind w:left="760" w:right="40" w:hanging="742"/>
        <w:spacing w:after="0" w:line="261" w:lineRule="auto"/>
        <w:tabs>
          <w:tab w:leader="none" w:pos="382"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Although the Option referred to overleaf is personal to the holder named overleaf it may be exercised by his personal representative(s) if he dies while the Option is still capable of exercise provided the personal representative(s) does/do so before the expiration of 12 months from the date of the Option Holder’s death or 10 years from the date of its grant (if sooner). If there are more than one, each of the personal representatives must sign this form. A copy of the Grant of Probate must be provided with the completed Notice of Exercise.</w:t>
      </w:r>
    </w:p>
    <w:p>
      <w:pPr>
        <w:spacing w:after="0" w:line="180" w:lineRule="exact"/>
        <w:rPr>
          <w:sz w:val="20"/>
          <w:szCs w:val="20"/>
          <w:color w:val="auto"/>
        </w:rPr>
      </w:pPr>
    </w:p>
    <w:p>
      <w:pPr>
        <w:ind w:left="380" w:hanging="368"/>
        <w:spacing w:after="0"/>
        <w:tabs>
          <w:tab w:leader="none" w:pos="38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remittance should be for an amount equal to the Option Price per Share shown overleaf, multiplied by the number of Shares applied for.</w:t>
      </w:r>
    </w:p>
    <w:p>
      <w:pPr>
        <w:spacing w:after="0" w:line="225" w:lineRule="exact"/>
        <w:rPr>
          <w:sz w:val="20"/>
          <w:szCs w:val="20"/>
          <w:color w:val="auto"/>
        </w:rPr>
      </w:pPr>
    </w:p>
    <w:p>
      <w:pPr>
        <w:ind w:left="760" w:right="120" w:hanging="748"/>
        <w:spacing w:after="0" w:line="266" w:lineRule="auto"/>
        <w:tabs>
          <w:tab w:leader="none" w:pos="376"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Please tick the appropriate box. If you fail to tick a box or if you tick the first box but your cash payment or next month’s salary are insufficient to cover the full liability, the Company will retain and sell sufficient shares to cover the liability or shortfall or will withhold the transferring of the shares to you until the full tax liabilities have been met by you.</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applicable, I hereby request you to despatch a balance certificate for the EMI Option to subscribe for any Shares included in the EMI Option referred to overleaf and not exercised on this occasion, by post at my risk to the address mentioned below.</w:t>
      </w:r>
    </w:p>
    <w:p>
      <w:pPr>
        <w:spacing w:after="0" w:line="16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2286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-7620</wp:posOffset>
            </wp:positionV>
            <wp:extent cx="2286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-19050</wp:posOffset>
            </wp:positionV>
            <wp:extent cx="2286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-19050</wp:posOffset>
            </wp:positionV>
            <wp:extent cx="2286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-19050</wp:posOffset>
            </wp:positionV>
            <wp:extent cx="2286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117475</wp:posOffset>
            </wp:positionV>
            <wp:extent cx="2286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254635</wp:posOffset>
            </wp:positionV>
            <wp:extent cx="2286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391795</wp:posOffset>
            </wp:positionV>
            <wp:extent cx="2286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the shares are restricted under ITEPA the Option Holder should be required to enter into a Joint Election with the Company to which this Exercise Notice should refer.]</w:t>
      </w:r>
    </w:p>
    <w:p>
      <w:pPr>
        <w:spacing w:after="0" w:line="180"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the parties have signed this Agreement on the date specified above:</w:t>
      </w:r>
    </w:p>
    <w:p>
      <w:pPr>
        <w:spacing w:after="0" w:line="22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but not delivered until the date hereof</w:t>
        <w:tab/>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xml:space="preserve"> )</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Director</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Director/Secretary</w:t>
      </w:r>
    </w:p>
    <w:p>
      <w:pPr>
        <w:spacing w:after="0" w:line="22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but not delivered until the date hereof</w:t>
        <w:tab/>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-7620</wp:posOffset>
            </wp:positionV>
            <wp:extent cx="22860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-19050</wp:posOffset>
            </wp:positionV>
            <wp:extent cx="2286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117475</wp:posOffset>
            </wp:positionV>
            <wp:extent cx="2286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254635</wp:posOffset>
            </wp:positionV>
            <wp:extent cx="2286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391795</wp:posOffset>
            </wp:positionV>
            <wp:extent cx="2286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DOCPROPERTY DOCXDOCID DMS=IManage Format=&lt;&lt;NUM&gt;&gt;v.&lt;&lt;VER&gt;&gt; 604114138v.2</w:t>
      </w:r>
    </w:p>
    <w:p>
      <w:pPr>
        <w:spacing w:after="0" w:line="36" w:lineRule="exact"/>
        <w:rPr>
          <w:sz w:val="20"/>
          <w:szCs w:val="20"/>
          <w:color w:val="auto"/>
        </w:rPr>
      </w:pPr>
    </w:p>
    <w:p>
      <w:pPr>
        <w:ind w:left="5520"/>
        <w:spacing w:after="0"/>
        <w:rPr>
          <w:sz w:val="20"/>
          <w:szCs w:val="20"/>
          <w:color w:val="auto"/>
        </w:rPr>
      </w:pPr>
      <w:r>
        <w:rPr>
          <w:rFonts w:ascii="Trebuchet MS" w:cs="Trebuchet MS" w:eastAsia="Trebuchet MS" w:hAnsi="Trebuchet MS"/>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1" w:right="1440" w:bottom="1440" w:gutter="0" w:footer="0" w:header="0"/>
        </w:sectPr>
      </w:pPr>
    </w:p>
    <w:bookmarkStart w:id="278" w:name="page279"/>
    <w:bookmarkEnd w:id="278"/>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Arial" w:cs="Arial" w:eastAsia="Arial" w:hAnsi="Arial"/>
          <w:sz w:val="50"/>
          <w:szCs w:val="50"/>
          <w:b w:val="1"/>
          <w:bCs w:val="1"/>
          <w:color w:val="auto"/>
        </w:rPr>
        <w:t>NuCana plc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00"/>
        <w:spacing w:after="0"/>
        <w:rPr>
          <w:sz w:val="20"/>
          <w:szCs w:val="20"/>
          <w:color w:val="auto"/>
        </w:rPr>
      </w:pPr>
      <w:r>
        <w:rPr>
          <w:rFonts w:ascii="Arial" w:cs="Arial" w:eastAsia="Arial" w:hAnsi="Arial"/>
          <w:sz w:val="25"/>
          <w:szCs w:val="25"/>
          <w:b w:val="1"/>
          <w:bCs w:val="1"/>
          <w:color w:val="auto"/>
        </w:rPr>
        <w:t>Company Number 03308778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0"/>
        <w:spacing w:after="0"/>
        <w:rPr>
          <w:sz w:val="20"/>
          <w:szCs w:val="20"/>
          <w:color w:val="auto"/>
        </w:rPr>
      </w:pPr>
      <w:r>
        <w:rPr>
          <w:rFonts w:ascii="Arial" w:cs="Arial" w:eastAsia="Arial" w:hAnsi="Arial"/>
          <w:sz w:val="29"/>
          <w:szCs w:val="29"/>
          <w:b w:val="1"/>
          <w:bCs w:val="1"/>
          <w:color w:val="auto"/>
        </w:rPr>
        <w:t>2020 LONG-TERM INCENTIVE PLAN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1840" w:right="3000"/>
        <w:spacing w:after="0" w:line="245" w:lineRule="auto"/>
        <w:rPr>
          <w:sz w:val="20"/>
          <w:szCs w:val="20"/>
          <w:color w:val="auto"/>
        </w:rPr>
      </w:pPr>
      <w:r>
        <w:rPr>
          <w:rFonts w:ascii="Arial" w:cs="Arial" w:eastAsia="Arial" w:hAnsi="Arial"/>
          <w:sz w:val="22"/>
          <w:szCs w:val="22"/>
          <w:color w:val="auto"/>
        </w:rPr>
        <w:t>Approved by shareholders on 25 June 2020 Adopted by the board of directors on 25 June 2020 and altered by the board of directors on 9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343535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79" w:name="page280"/>
    <w:bookmarkEnd w:id="279"/>
    <w:tbl>
      <w:tblPr>
        <w:tblLayout w:type="fixed"/>
        <w:tblInd w:w="2800" w:type="dxa"/>
        <w:tblCellMar>
          <w:top w:w="0" w:type="dxa"/>
          <w:left w:w="0" w:type="dxa"/>
          <w:bottom w:w="0" w:type="dxa"/>
          <w:right w:w="0" w:type="dxa"/>
        </w:tblCellMar>
      </w:tblPr>
      <w:tr>
        <w:trPr>
          <w:trHeight w:val="273"/>
        </w:trPr>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gridSpan w:val="2"/>
          </w:tcPr>
          <w:p>
            <w:pPr>
              <w:ind w:left="200"/>
              <w:spacing w:after="0"/>
              <w:rPr>
                <w:sz w:val="20"/>
                <w:szCs w:val="20"/>
                <w:color w:val="auto"/>
              </w:rPr>
            </w:pPr>
            <w:r>
              <w:rPr>
                <w:rFonts w:ascii="Arial" w:cs="Arial" w:eastAsia="Arial" w:hAnsi="Arial"/>
                <w:sz w:val="20"/>
                <w:szCs w:val="20"/>
                <w:b w:val="1"/>
                <w:bCs w:val="1"/>
                <w:color w:val="auto"/>
              </w:rPr>
              <w:t>CONTENTS</w:t>
            </w:r>
          </w:p>
        </w:tc>
        <w:tc>
          <w:tcPr>
            <w:tcW w:w="1700" w:type="dxa"/>
            <w:vAlign w:val="bottom"/>
          </w:tcPr>
          <w:p>
            <w:pPr>
              <w:spacing w:after="0"/>
              <w:rPr>
                <w:sz w:val="23"/>
                <w:szCs w:val="23"/>
                <w:color w:val="auto"/>
              </w:rPr>
            </w:pPr>
          </w:p>
        </w:tc>
      </w:tr>
      <w:tr>
        <w:trPr>
          <w:trHeight w:val="405"/>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20"/>
                <w:szCs w:val="20"/>
                <w:b w:val="1"/>
                <w:bCs w:val="1"/>
                <w:color w:val="auto"/>
              </w:rPr>
              <w:t>Rule</w:t>
            </w:r>
          </w:p>
        </w:tc>
        <w:tc>
          <w:tcPr>
            <w:tcW w:w="1160" w:type="dxa"/>
            <w:vAlign w:val="bottom"/>
          </w:tcPr>
          <w:p>
            <w:pPr>
              <w:ind w:left="220"/>
              <w:spacing w:after="0"/>
              <w:rPr>
                <w:sz w:val="20"/>
                <w:szCs w:val="20"/>
                <w:color w:val="auto"/>
              </w:rPr>
            </w:pPr>
            <w:r>
              <w:rPr>
                <w:rFonts w:ascii="Arial" w:cs="Arial" w:eastAsia="Arial" w:hAnsi="Arial"/>
                <w:sz w:val="20"/>
                <w:szCs w:val="20"/>
                <w:b w:val="1"/>
                <w:bCs w:val="1"/>
                <w:color w:val="auto"/>
              </w:rPr>
              <w:t>Page</w:t>
            </w:r>
          </w:p>
        </w:tc>
        <w:tc>
          <w:tcPr>
            <w:tcW w:w="1700" w:type="dxa"/>
            <w:vAlign w:val="bottom"/>
          </w:tcPr>
          <w:p>
            <w:pPr>
              <w:spacing w:after="0"/>
              <w:rPr>
                <w:sz w:val="24"/>
                <w:szCs w:val="24"/>
                <w:color w:val="auto"/>
              </w:rPr>
            </w:pPr>
          </w:p>
        </w:tc>
      </w:tr>
      <w:tr>
        <w:trPr>
          <w:trHeight w:val="518"/>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jc w:val="right"/>
              <w:ind w:right="221"/>
              <w:spacing w:after="0"/>
              <w:rPr>
                <w:sz w:val="20"/>
                <w:szCs w:val="20"/>
                <w:color w:val="auto"/>
              </w:rPr>
            </w:pPr>
            <w:r>
              <w:rPr>
                <w:rFonts w:ascii="Calibri" w:cs="Calibri" w:eastAsia="Calibri" w:hAnsi="Calibri"/>
                <w:sz w:val="18"/>
                <w:szCs w:val="18"/>
                <w:color w:val="auto"/>
              </w:rPr>
              <w:t>1.</w:t>
            </w:r>
          </w:p>
        </w:tc>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auto"/>
              </w:rPr>
              <w:t>INTRODUCTION</w:t>
            </w:r>
          </w:p>
        </w:tc>
        <w:tc>
          <w:tcPr>
            <w:tcW w:w="1700" w:type="dxa"/>
            <w:vAlign w:val="bottom"/>
          </w:tcPr>
          <w:p>
            <w:pPr>
              <w:jc w:val="right"/>
              <w:ind w:right="1510"/>
              <w:spacing w:after="0"/>
              <w:rPr>
                <w:sz w:val="20"/>
                <w:szCs w:val="20"/>
                <w:color w:val="auto"/>
              </w:rPr>
            </w:pPr>
            <w:r>
              <w:rPr>
                <w:rFonts w:ascii="Arial" w:cs="Arial" w:eastAsia="Arial" w:hAnsi="Arial"/>
                <w:sz w:val="18"/>
                <w:szCs w:val="18"/>
                <w:b w:val="1"/>
                <w:bCs w:val="1"/>
                <w:color w:val="auto"/>
                <w:w w:val="79"/>
              </w:rPr>
              <w:t>2</w:t>
            </w:r>
          </w:p>
        </w:tc>
      </w:tr>
      <w:tr>
        <w:trPr>
          <w:trHeight w:val="473"/>
        </w:trPr>
        <w:tc>
          <w:tcPr>
            <w:tcW w:w="380" w:type="dxa"/>
            <w:vAlign w:val="bottom"/>
          </w:tcPr>
          <w:p>
            <w:pPr>
              <w:spacing w:after="0"/>
              <w:rPr>
                <w:sz w:val="24"/>
                <w:szCs w:val="24"/>
                <w:color w:val="auto"/>
              </w:rPr>
            </w:pPr>
          </w:p>
        </w:tc>
        <w:tc>
          <w:tcPr>
            <w:tcW w:w="840" w:type="dxa"/>
            <w:vAlign w:val="bottom"/>
          </w:tcPr>
          <w:p>
            <w:pPr>
              <w:jc w:val="right"/>
              <w:ind w:right="390"/>
              <w:spacing w:after="0"/>
              <w:rPr>
                <w:sz w:val="20"/>
                <w:szCs w:val="20"/>
                <w:color w:val="auto"/>
              </w:rPr>
            </w:pPr>
            <w:r>
              <w:rPr>
                <w:rFonts w:ascii="Calibri" w:cs="Calibri" w:eastAsia="Calibri" w:hAnsi="Calibri"/>
                <w:sz w:val="18"/>
                <w:szCs w:val="18"/>
                <w:color w:val="auto"/>
              </w:rPr>
              <w:t>2.</w:t>
            </w:r>
          </w:p>
        </w:tc>
        <w:tc>
          <w:tcPr>
            <w:tcW w:w="442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9"/>
              </w:rPr>
              <w:t>DEFINITIONS AND INTERPRETATION2</w:t>
            </w:r>
          </w:p>
        </w:tc>
      </w:tr>
      <w:tr>
        <w:trPr>
          <w:trHeight w:val="459"/>
        </w:trPr>
        <w:tc>
          <w:tcPr>
            <w:tcW w:w="380" w:type="dxa"/>
            <w:vAlign w:val="bottom"/>
          </w:tcPr>
          <w:p>
            <w:pPr>
              <w:jc w:val="right"/>
              <w:ind w:right="150"/>
              <w:spacing w:after="0"/>
              <w:rPr>
                <w:sz w:val="20"/>
                <w:szCs w:val="20"/>
                <w:color w:val="auto"/>
              </w:rPr>
            </w:pPr>
            <w:r>
              <w:rPr>
                <w:rFonts w:ascii="Calibri" w:cs="Calibri" w:eastAsia="Calibri" w:hAnsi="Calibri"/>
                <w:sz w:val="18"/>
                <w:szCs w:val="18"/>
                <w:color w:val="auto"/>
                <w:w w:val="87"/>
              </w:rPr>
              <w:t>3.</w:t>
            </w:r>
          </w:p>
        </w:tc>
        <w:tc>
          <w:tcPr>
            <w:tcW w:w="526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rPr>
              <w:t>PROVISIONS RELATING TO A GRANT OF AN AWARD  5</w:t>
            </w:r>
          </w:p>
        </w:tc>
      </w:tr>
      <w:tr>
        <w:trPr>
          <w:trHeight w:val="473"/>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jc w:val="right"/>
              <w:ind w:right="421"/>
              <w:spacing w:after="0"/>
              <w:rPr>
                <w:sz w:val="20"/>
                <w:szCs w:val="20"/>
                <w:color w:val="auto"/>
              </w:rPr>
            </w:pPr>
            <w:r>
              <w:rPr>
                <w:rFonts w:ascii="Calibri" w:cs="Calibri" w:eastAsia="Calibri" w:hAnsi="Calibri"/>
                <w:sz w:val="18"/>
                <w:szCs w:val="18"/>
                <w:color w:val="auto"/>
              </w:rPr>
              <w:t>4.</w:t>
            </w:r>
          </w:p>
        </w:tc>
        <w:tc>
          <w:tcPr>
            <w:tcW w:w="190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GRANT OF AWARDS</w:t>
            </w:r>
          </w:p>
        </w:tc>
        <w:tc>
          <w:tcPr>
            <w:tcW w:w="1700" w:type="dxa"/>
            <w:vAlign w:val="bottom"/>
          </w:tcPr>
          <w:p>
            <w:pPr>
              <w:jc w:val="right"/>
              <w:ind w:right="1310"/>
              <w:spacing w:after="0"/>
              <w:rPr>
                <w:sz w:val="20"/>
                <w:szCs w:val="20"/>
                <w:color w:val="auto"/>
              </w:rPr>
            </w:pPr>
            <w:r>
              <w:rPr>
                <w:rFonts w:ascii="Arial" w:cs="Arial" w:eastAsia="Arial" w:hAnsi="Arial"/>
                <w:sz w:val="18"/>
                <w:szCs w:val="18"/>
                <w:b w:val="1"/>
                <w:bCs w:val="1"/>
                <w:color w:val="auto"/>
              </w:rPr>
              <w:t>6</w:t>
            </w:r>
          </w:p>
        </w:tc>
      </w:tr>
      <w:tr>
        <w:trPr>
          <w:trHeight w:val="459"/>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alibri" w:cs="Calibri" w:eastAsia="Calibri" w:hAnsi="Calibri"/>
                <w:sz w:val="18"/>
                <w:szCs w:val="18"/>
                <w:color w:val="auto"/>
              </w:rPr>
              <w:t>5.</w:t>
            </w:r>
          </w:p>
        </w:tc>
        <w:tc>
          <w:tcPr>
            <w:tcW w:w="1900" w:type="dxa"/>
            <w:vAlign w:val="bottom"/>
            <w:gridSpan w:val="2"/>
          </w:tcPr>
          <w:p>
            <w:pPr>
              <w:jc w:val="center"/>
              <w:ind w:left="307"/>
              <w:spacing w:after="0"/>
              <w:rPr>
                <w:sz w:val="20"/>
                <w:szCs w:val="20"/>
                <w:color w:val="auto"/>
              </w:rPr>
            </w:pPr>
            <w:r>
              <w:rPr>
                <w:rFonts w:ascii="Arial" w:cs="Arial" w:eastAsia="Arial" w:hAnsi="Arial"/>
                <w:sz w:val="18"/>
                <w:szCs w:val="18"/>
                <w:b w:val="1"/>
                <w:bCs w:val="1"/>
                <w:color w:val="auto"/>
              </w:rPr>
              <w:t>ISO LIMITS   8</w:t>
            </w:r>
          </w:p>
        </w:tc>
        <w:tc>
          <w:tcPr>
            <w:tcW w:w="1700" w:type="dxa"/>
            <w:vAlign w:val="bottom"/>
          </w:tcPr>
          <w:p>
            <w:pPr>
              <w:spacing w:after="0"/>
              <w:rPr>
                <w:sz w:val="24"/>
                <w:szCs w:val="24"/>
                <w:color w:val="auto"/>
              </w:rPr>
            </w:pPr>
          </w:p>
        </w:tc>
      </w:tr>
      <w:tr>
        <w:trPr>
          <w:trHeight w:val="473"/>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jc w:val="right"/>
              <w:ind w:right="421"/>
              <w:spacing w:after="0"/>
              <w:rPr>
                <w:sz w:val="20"/>
                <w:szCs w:val="20"/>
                <w:color w:val="auto"/>
              </w:rPr>
            </w:pPr>
            <w:r>
              <w:rPr>
                <w:rFonts w:ascii="Calibri" w:cs="Calibri" w:eastAsia="Calibri" w:hAnsi="Calibri"/>
                <w:sz w:val="18"/>
                <w:szCs w:val="18"/>
                <w:color w:val="auto"/>
              </w:rPr>
              <w:t>6.</w:t>
            </w:r>
          </w:p>
        </w:tc>
        <w:tc>
          <w:tcPr>
            <w:tcW w:w="3600" w:type="dxa"/>
            <w:vAlign w:val="bottom"/>
            <w:gridSpan w:val="3"/>
          </w:tcPr>
          <w:p>
            <w:pPr>
              <w:jc w:val="center"/>
              <w:ind w:right="1210"/>
              <w:spacing w:after="0"/>
              <w:rPr>
                <w:sz w:val="20"/>
                <w:szCs w:val="20"/>
                <w:color w:val="auto"/>
              </w:rPr>
            </w:pPr>
            <w:r>
              <w:rPr>
                <w:rFonts w:ascii="Arial" w:cs="Arial" w:eastAsia="Arial" w:hAnsi="Arial"/>
                <w:sz w:val="18"/>
                <w:szCs w:val="18"/>
                <w:b w:val="1"/>
                <w:bCs w:val="1"/>
                <w:color w:val="auto"/>
                <w:w w:val="99"/>
              </w:rPr>
              <w:t>VESTING OF AWARDS 8</w:t>
            </w:r>
          </w:p>
        </w:tc>
      </w:tr>
      <w:tr>
        <w:trPr>
          <w:trHeight w:val="459"/>
        </w:trPr>
        <w:tc>
          <w:tcPr>
            <w:tcW w:w="38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Calibri" w:cs="Calibri" w:eastAsia="Calibri" w:hAnsi="Calibri"/>
                <w:sz w:val="18"/>
                <w:szCs w:val="18"/>
                <w:color w:val="auto"/>
              </w:rPr>
              <w:t>7.</w:t>
            </w:r>
          </w:p>
        </w:tc>
        <w:tc>
          <w:tcPr>
            <w:tcW w:w="442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rPr>
              <w:t>CONSEQUENCES OF VESTING  10</w:t>
            </w:r>
          </w:p>
        </w:tc>
      </w:tr>
    </w:tbl>
    <w:p>
      <w:pPr>
        <w:spacing w:after="0" w:line="226" w:lineRule="exact"/>
        <w:rPr>
          <w:sz w:val="20"/>
          <w:szCs w:val="20"/>
          <w:color w:val="auto"/>
        </w:rPr>
      </w:pPr>
    </w:p>
    <w:p>
      <w:pPr>
        <w:ind w:left="3960"/>
        <w:spacing w:after="0"/>
        <w:tabs>
          <w:tab w:leader="none" w:pos="4680" w:val="left"/>
          <w:tab w:leader="none" w:pos="7080" w:val="left"/>
        </w:tabs>
        <w:rPr>
          <w:sz w:val="20"/>
          <w:szCs w:val="20"/>
          <w:color w:val="auto"/>
        </w:rPr>
      </w:pPr>
      <w:r>
        <w:rPr>
          <w:rFonts w:ascii="Calibri" w:cs="Calibri" w:eastAsia="Calibri" w:hAnsi="Calibri"/>
          <w:sz w:val="18"/>
          <w:szCs w:val="18"/>
          <w:color w:val="auto"/>
        </w:rPr>
        <w:t>8.</w:t>
      </w:r>
      <w:r>
        <w:rPr>
          <w:sz w:val="20"/>
          <w:szCs w:val="20"/>
          <w:color w:val="auto"/>
        </w:rPr>
        <w:tab/>
      </w:r>
      <w:r>
        <w:rPr>
          <w:rFonts w:ascii="Arial" w:cs="Arial" w:eastAsia="Arial" w:hAnsi="Arial"/>
          <w:sz w:val="18"/>
          <w:szCs w:val="18"/>
          <w:b w:val="1"/>
          <w:bCs w:val="1"/>
          <w:color w:val="auto"/>
        </w:rPr>
        <w:t>EXERCISE OF OPTIONS</w:t>
      </w:r>
      <w:r>
        <w:rPr>
          <w:sz w:val="20"/>
          <w:szCs w:val="20"/>
          <w:color w:val="auto"/>
        </w:rPr>
        <w:tab/>
      </w:r>
      <w:r>
        <w:rPr>
          <w:rFonts w:ascii="Arial" w:cs="Arial" w:eastAsia="Arial" w:hAnsi="Arial"/>
          <w:sz w:val="17"/>
          <w:szCs w:val="17"/>
          <w:b w:val="1"/>
          <w:bCs w:val="1"/>
          <w:color w:val="auto"/>
        </w:rPr>
        <w:t>10</w:t>
      </w:r>
    </w:p>
    <w:p>
      <w:pPr>
        <w:spacing w:after="0" w:line="239" w:lineRule="exact"/>
        <w:rPr>
          <w:sz w:val="20"/>
          <w:szCs w:val="20"/>
          <w:color w:val="auto"/>
        </w:rPr>
      </w:pPr>
    </w:p>
    <w:tbl>
      <w:tblPr>
        <w:tblLayout w:type="fixed"/>
        <w:tblInd w:w="2380" w:type="dxa"/>
        <w:tblCellMar>
          <w:top w:w="0" w:type="dxa"/>
          <w:left w:w="0" w:type="dxa"/>
          <w:bottom w:w="0" w:type="dxa"/>
          <w:right w:w="0" w:type="dxa"/>
        </w:tblCellMar>
      </w:tblPr>
      <w:tr>
        <w:trPr>
          <w:trHeight w:val="247"/>
        </w:trPr>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jc w:val="right"/>
              <w:ind w:right="350"/>
              <w:spacing w:after="0"/>
              <w:rPr>
                <w:sz w:val="20"/>
                <w:szCs w:val="20"/>
                <w:color w:val="auto"/>
              </w:rPr>
            </w:pPr>
            <w:r>
              <w:rPr>
                <w:rFonts w:ascii="Calibri" w:cs="Calibri" w:eastAsia="Calibri" w:hAnsi="Calibri"/>
                <w:sz w:val="18"/>
                <w:szCs w:val="18"/>
                <w:color w:val="auto"/>
              </w:rPr>
              <w:t>9.</w:t>
            </w:r>
          </w:p>
        </w:tc>
        <w:tc>
          <w:tcPr>
            <w:tcW w:w="2120" w:type="dxa"/>
            <w:vAlign w:val="bottom"/>
          </w:tcPr>
          <w:p>
            <w:pPr>
              <w:jc w:val="right"/>
              <w:ind w:right="50"/>
              <w:spacing w:after="0"/>
              <w:rPr>
                <w:sz w:val="20"/>
                <w:szCs w:val="20"/>
                <w:color w:val="auto"/>
              </w:rPr>
            </w:pPr>
            <w:r>
              <w:rPr>
                <w:rFonts w:ascii="Arial" w:cs="Arial" w:eastAsia="Arial" w:hAnsi="Arial"/>
                <w:sz w:val="18"/>
                <w:szCs w:val="18"/>
                <w:b w:val="1"/>
                <w:bCs w:val="1"/>
                <w:color w:val="auto"/>
              </w:rPr>
              <w:t>CASH ALTERNATIVE</w:t>
            </w:r>
          </w:p>
        </w:tc>
        <w:tc>
          <w:tcPr>
            <w:tcW w:w="1600" w:type="dxa"/>
            <w:vAlign w:val="bottom"/>
          </w:tcPr>
          <w:p>
            <w:pPr>
              <w:jc w:val="right"/>
              <w:ind w:right="1270"/>
              <w:spacing w:after="0"/>
              <w:rPr>
                <w:sz w:val="20"/>
                <w:szCs w:val="20"/>
                <w:color w:val="auto"/>
              </w:rPr>
            </w:pPr>
            <w:r>
              <w:rPr>
                <w:rFonts w:ascii="Arial" w:cs="Arial" w:eastAsia="Arial" w:hAnsi="Arial"/>
                <w:sz w:val="18"/>
                <w:szCs w:val="18"/>
                <w:b w:val="1"/>
                <w:bCs w:val="1"/>
                <w:color w:val="auto"/>
              </w:rPr>
              <w:t>12</w:t>
            </w:r>
          </w:p>
        </w:tc>
        <w:tc>
          <w:tcPr>
            <w:tcW w:w="400" w:type="dxa"/>
            <w:vAlign w:val="bottom"/>
          </w:tcPr>
          <w:p>
            <w:pPr>
              <w:spacing w:after="0"/>
              <w:rPr>
                <w:sz w:val="21"/>
                <w:szCs w:val="21"/>
                <w:color w:val="auto"/>
              </w:rPr>
            </w:pPr>
          </w:p>
        </w:tc>
      </w:tr>
      <w:tr>
        <w:trPr>
          <w:trHeight w:val="473"/>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Calibri" w:cs="Calibri" w:eastAsia="Calibri" w:hAnsi="Calibri"/>
                <w:sz w:val="18"/>
                <w:szCs w:val="18"/>
                <w:color w:val="auto"/>
              </w:rPr>
              <w:t>10.</w:t>
            </w:r>
          </w:p>
        </w:tc>
        <w:tc>
          <w:tcPr>
            <w:tcW w:w="2120" w:type="dxa"/>
            <w:vAlign w:val="bottom"/>
          </w:tcPr>
          <w:p>
            <w:pPr>
              <w:jc w:val="right"/>
              <w:ind w:right="150"/>
              <w:spacing w:after="0"/>
              <w:rPr>
                <w:sz w:val="20"/>
                <w:szCs w:val="20"/>
                <w:color w:val="auto"/>
              </w:rPr>
            </w:pPr>
            <w:r>
              <w:rPr>
                <w:rFonts w:ascii="Arial" w:cs="Arial" w:eastAsia="Arial" w:hAnsi="Arial"/>
                <w:sz w:val="18"/>
                <w:szCs w:val="18"/>
                <w:b w:val="1"/>
                <w:bCs w:val="1"/>
                <w:color w:val="auto"/>
              </w:rPr>
              <w:t>LAPSE OF AWARDS</w:t>
            </w:r>
          </w:p>
        </w:tc>
        <w:tc>
          <w:tcPr>
            <w:tcW w:w="1600" w:type="dxa"/>
            <w:vAlign w:val="bottom"/>
          </w:tcPr>
          <w:p>
            <w:pPr>
              <w:jc w:val="right"/>
              <w:ind w:right="1310"/>
              <w:spacing w:after="0"/>
              <w:rPr>
                <w:sz w:val="20"/>
                <w:szCs w:val="20"/>
                <w:color w:val="auto"/>
              </w:rPr>
            </w:pPr>
            <w:r>
              <w:rPr>
                <w:rFonts w:ascii="Arial" w:cs="Arial" w:eastAsia="Arial" w:hAnsi="Arial"/>
                <w:sz w:val="18"/>
                <w:szCs w:val="18"/>
                <w:b w:val="1"/>
                <w:bCs w:val="1"/>
                <w:color w:val="auto"/>
                <w:w w:val="89"/>
              </w:rPr>
              <w:t>13</w:t>
            </w:r>
          </w:p>
        </w:tc>
        <w:tc>
          <w:tcPr>
            <w:tcW w:w="400" w:type="dxa"/>
            <w:vAlign w:val="bottom"/>
          </w:tcPr>
          <w:p>
            <w:pPr>
              <w:spacing w:after="0"/>
              <w:rPr>
                <w:sz w:val="24"/>
                <w:szCs w:val="24"/>
                <w:color w:val="auto"/>
              </w:rPr>
            </w:pPr>
          </w:p>
        </w:tc>
      </w:tr>
      <w:tr>
        <w:trPr>
          <w:trHeight w:val="459"/>
        </w:trPr>
        <w:tc>
          <w:tcPr>
            <w:tcW w:w="420" w:type="dxa"/>
            <w:vAlign w:val="bottom"/>
          </w:tcPr>
          <w:p>
            <w:pPr>
              <w:jc w:val="right"/>
              <w:ind w:right="110"/>
              <w:spacing w:after="0"/>
              <w:rPr>
                <w:sz w:val="20"/>
                <w:szCs w:val="20"/>
                <w:color w:val="auto"/>
              </w:rPr>
            </w:pPr>
            <w:r>
              <w:rPr>
                <w:rFonts w:ascii="Calibri" w:cs="Calibri" w:eastAsia="Calibri" w:hAnsi="Calibri"/>
                <w:sz w:val="18"/>
                <w:szCs w:val="18"/>
                <w:color w:val="auto"/>
                <w:w w:val="87"/>
              </w:rPr>
              <w:t>11.</w:t>
            </w:r>
          </w:p>
        </w:tc>
        <w:tc>
          <w:tcPr>
            <w:tcW w:w="56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CESSATION OF OFFICE, EMPLOYMENT OR CONSULTANCY</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73"/>
        </w:trPr>
        <w:tc>
          <w:tcPr>
            <w:tcW w:w="42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Calibri" w:cs="Calibri" w:eastAsia="Calibri" w:hAnsi="Calibri"/>
                <w:sz w:val="18"/>
                <w:szCs w:val="18"/>
                <w:color w:val="auto"/>
              </w:rPr>
              <w:t>12.</w:t>
            </w:r>
          </w:p>
        </w:tc>
        <w:tc>
          <w:tcPr>
            <w:tcW w:w="50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TAKEOVERS AND OTHER CORPORATE EVENTS  15</w:t>
            </w:r>
          </w:p>
        </w:tc>
        <w:tc>
          <w:tcPr>
            <w:tcW w:w="40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13.</w:t>
            </w:r>
          </w:p>
        </w:tc>
        <w:tc>
          <w:tcPr>
            <w:tcW w:w="2780" w:type="dxa"/>
            <w:vAlign w:val="bottom"/>
            <w:gridSpan w:val="2"/>
          </w:tcPr>
          <w:p>
            <w:pPr>
              <w:jc w:val="right"/>
              <w:spacing w:after="0"/>
              <w:rPr>
                <w:sz w:val="20"/>
                <w:szCs w:val="20"/>
                <w:color w:val="auto"/>
              </w:rPr>
            </w:pPr>
            <w:r>
              <w:rPr>
                <w:rFonts w:ascii="Arial" w:cs="Arial" w:eastAsia="Arial" w:hAnsi="Arial"/>
                <w:sz w:val="18"/>
                <w:szCs w:val="18"/>
                <w:b w:val="1"/>
                <w:bCs w:val="1"/>
                <w:color w:val="auto"/>
              </w:rPr>
              <w:t>ADJUSTMENT OF AWARDS</w:t>
            </w:r>
          </w:p>
        </w:tc>
        <w:tc>
          <w:tcPr>
            <w:tcW w:w="1600" w:type="dxa"/>
            <w:vAlign w:val="bottom"/>
          </w:tcPr>
          <w:p>
            <w:pPr>
              <w:jc w:val="right"/>
              <w:ind w:right="910"/>
              <w:spacing w:after="0"/>
              <w:rPr>
                <w:sz w:val="20"/>
                <w:szCs w:val="20"/>
                <w:color w:val="auto"/>
              </w:rPr>
            </w:pPr>
            <w:r>
              <w:rPr>
                <w:rFonts w:ascii="Arial" w:cs="Arial" w:eastAsia="Arial" w:hAnsi="Arial"/>
                <w:sz w:val="18"/>
                <w:szCs w:val="18"/>
                <w:b w:val="1"/>
                <w:bCs w:val="1"/>
                <w:color w:val="auto"/>
              </w:rPr>
              <w:t>17</w:t>
            </w:r>
          </w:p>
        </w:tc>
        <w:tc>
          <w:tcPr>
            <w:tcW w:w="400" w:type="dxa"/>
            <w:vAlign w:val="bottom"/>
          </w:tcPr>
          <w:p>
            <w:pPr>
              <w:spacing w:after="0"/>
              <w:rPr>
                <w:sz w:val="24"/>
                <w:szCs w:val="24"/>
                <w:color w:val="auto"/>
              </w:rPr>
            </w:pPr>
          </w:p>
        </w:tc>
      </w:tr>
      <w:tr>
        <w:trPr>
          <w:trHeight w:val="473"/>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Calibri" w:cs="Calibri" w:eastAsia="Calibri" w:hAnsi="Calibri"/>
                <w:sz w:val="18"/>
                <w:szCs w:val="18"/>
                <w:color w:val="auto"/>
              </w:rPr>
              <w:t>14.</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ALTERATIONS   18</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Calibri" w:cs="Calibri" w:eastAsia="Calibri" w:hAnsi="Calibri"/>
                <w:sz w:val="18"/>
                <w:szCs w:val="18"/>
                <w:color w:val="auto"/>
              </w:rPr>
              <w:t>15.</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MISCELLANEOUS 18</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223520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88" w:right="1440" w:bottom="1440" w:gutter="0" w:footer="0" w:header="0"/>
        </w:sectPr>
      </w:pPr>
    </w:p>
    <w:bookmarkStart w:id="280" w:name="page281"/>
    <w:bookmarkEnd w:id="280"/>
    <w:p>
      <w:pPr>
        <w:spacing w:after="0" w:line="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RULES OF THE</w:t>
      </w:r>
    </w:p>
    <w:p>
      <w:pPr>
        <w:spacing w:after="0" w:line="12"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NUCANA PLC 2020 LONG-TERM INCENTIVE PLAN</w:t>
      </w:r>
    </w:p>
    <w:p>
      <w:pPr>
        <w:spacing w:after="0" w:line="378" w:lineRule="exact"/>
        <w:rPr>
          <w:sz w:val="20"/>
          <w:szCs w:val="20"/>
          <w:color w:val="auto"/>
        </w:rPr>
      </w:pPr>
    </w:p>
    <w:p>
      <w:pPr>
        <w:ind w:left="760" w:hanging="647"/>
        <w:spacing w:after="0"/>
        <w:tabs>
          <w:tab w:leader="none" w:pos="760" w:val="left"/>
        </w:tabs>
        <w:numPr>
          <w:ilvl w:val="0"/>
          <w:numId w:val="249"/>
        </w:numPr>
        <w:rPr>
          <w:rFonts w:ascii="Calibri" w:cs="Calibri" w:eastAsia="Calibri" w:hAnsi="Calibri"/>
          <w:sz w:val="20"/>
          <w:szCs w:val="20"/>
          <w:color w:val="auto"/>
        </w:rPr>
      </w:pPr>
      <w:r>
        <w:rPr>
          <w:rFonts w:ascii="Arial" w:cs="Arial" w:eastAsia="Arial" w:hAnsi="Arial"/>
          <w:sz w:val="20"/>
          <w:szCs w:val="20"/>
          <w:b w:val="1"/>
          <w:bCs w:val="1"/>
          <w:color w:val="auto"/>
        </w:rPr>
        <w:t>INTRODUCTION</w:t>
      </w:r>
    </w:p>
    <w:p>
      <w:pPr>
        <w:spacing w:after="0" w:line="214" w:lineRule="exact"/>
        <w:rPr>
          <w:rFonts w:ascii="Calibri" w:cs="Calibri" w:eastAsia="Calibri" w:hAnsi="Calibri"/>
          <w:sz w:val="20"/>
          <w:szCs w:val="20"/>
          <w:color w:val="auto"/>
        </w:rPr>
      </w:pPr>
    </w:p>
    <w:p>
      <w:pPr>
        <w:ind w:left="760"/>
        <w:spacing w:after="0" w:line="259" w:lineRule="auto"/>
        <w:rPr>
          <w:rFonts w:ascii="Calibri" w:cs="Calibri" w:eastAsia="Calibri" w:hAnsi="Calibri"/>
          <w:sz w:val="20"/>
          <w:szCs w:val="20"/>
          <w:color w:val="auto"/>
        </w:rPr>
      </w:pPr>
      <w:r>
        <w:rPr>
          <w:rFonts w:ascii="Arial" w:cs="Arial" w:eastAsia="Arial" w:hAnsi="Arial"/>
          <w:sz w:val="20"/>
          <w:szCs w:val="20"/>
          <w:color w:val="auto"/>
        </w:rPr>
        <w:t xml:space="preserve">The Plan is a discretionary benefit offered by </w:t>
      </w:r>
      <w:r>
        <w:rPr>
          <w:rFonts w:ascii="Arial" w:cs="Arial" w:eastAsia="Arial" w:hAnsi="Arial"/>
          <w:sz w:val="20"/>
          <w:szCs w:val="20"/>
          <w:b w:val="1"/>
          <w:bCs w:val="1"/>
          <w:color w:val="auto"/>
        </w:rPr>
        <w:t>NuCana plc</w:t>
      </w:r>
      <w:r>
        <w:rPr>
          <w:rFonts w:ascii="Arial" w:cs="Arial" w:eastAsia="Arial" w:hAnsi="Arial"/>
          <w:sz w:val="20"/>
          <w:szCs w:val="20"/>
          <w:color w:val="auto"/>
        </w:rPr>
        <w:t xml:space="preserve"> for the benefit of Employees, directors and consultants of its Group Members.</w:t>
      </w:r>
    </w:p>
    <w:p>
      <w:pPr>
        <w:spacing w:after="0" w:line="126" w:lineRule="exact"/>
        <w:rPr>
          <w:rFonts w:ascii="Calibri" w:cs="Calibri" w:eastAsia="Calibri" w:hAnsi="Calibri"/>
          <w:sz w:val="20"/>
          <w:szCs w:val="20"/>
          <w:color w:val="auto"/>
        </w:rPr>
      </w:pPr>
    </w:p>
    <w:p>
      <w:pPr>
        <w:ind w:left="760"/>
        <w:spacing w:after="0"/>
        <w:rPr>
          <w:rFonts w:ascii="Calibri" w:cs="Calibri" w:eastAsia="Calibri" w:hAnsi="Calibri"/>
          <w:sz w:val="20"/>
          <w:szCs w:val="20"/>
          <w:color w:val="auto"/>
        </w:rPr>
      </w:pPr>
      <w:r>
        <w:rPr>
          <w:rFonts w:ascii="Arial" w:cs="Arial" w:eastAsia="Arial" w:hAnsi="Arial"/>
          <w:sz w:val="20"/>
          <w:szCs w:val="20"/>
          <w:color w:val="auto"/>
        </w:rPr>
        <w:t>The Plan allows for the grant of Awards in the form of:</w:t>
      </w:r>
    </w:p>
    <w:p>
      <w:pPr>
        <w:spacing w:after="0" w:line="213" w:lineRule="exact"/>
        <w:rPr>
          <w:rFonts w:ascii="Calibri" w:cs="Calibri" w:eastAsia="Calibri" w:hAnsi="Calibri"/>
          <w:sz w:val="20"/>
          <w:szCs w:val="20"/>
          <w:color w:val="auto"/>
        </w:rPr>
      </w:pPr>
    </w:p>
    <w:p>
      <w:pPr>
        <w:ind w:left="1400" w:right="20" w:hanging="628"/>
        <w:spacing w:after="0" w:line="253" w:lineRule="auto"/>
        <w:tabs>
          <w:tab w:leader="none" w:pos="1400" w:val="left"/>
        </w:tabs>
        <w:numPr>
          <w:ilvl w:val="1"/>
          <w:numId w:val="249"/>
        </w:numPr>
        <w:rPr>
          <w:rFonts w:ascii="Calibri" w:cs="Calibri" w:eastAsia="Calibri" w:hAnsi="Calibri"/>
          <w:sz w:val="18"/>
          <w:szCs w:val="18"/>
          <w:color w:val="auto"/>
        </w:rPr>
      </w:pPr>
      <w:r>
        <w:rPr>
          <w:rFonts w:ascii="Arial" w:cs="Arial" w:eastAsia="Arial" w:hAnsi="Arial"/>
          <w:sz w:val="20"/>
          <w:szCs w:val="20"/>
          <w:b w:val="1"/>
          <w:bCs w:val="1"/>
          <w:color w:val="auto"/>
        </w:rPr>
        <w:t>Conditional Awards</w:t>
      </w:r>
      <w:r>
        <w:rPr>
          <w:rFonts w:ascii="Arial" w:cs="Arial" w:eastAsia="Arial" w:hAnsi="Arial"/>
          <w:sz w:val="20"/>
          <w:szCs w:val="20"/>
          <w:color w:val="auto"/>
        </w:rPr>
        <w:t>, which are rights to receive Shares for free automatically to the extent the Award Vests;</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p>
    <w:p>
      <w:pPr>
        <w:spacing w:after="0" w:line="156" w:lineRule="exact"/>
        <w:rPr>
          <w:rFonts w:ascii="Calibri" w:cs="Calibri" w:eastAsia="Calibri" w:hAnsi="Calibri"/>
          <w:sz w:val="18"/>
          <w:szCs w:val="18"/>
          <w:color w:val="auto"/>
        </w:rPr>
      </w:pPr>
    </w:p>
    <w:p>
      <w:pPr>
        <w:ind w:left="1400" w:hanging="628"/>
        <w:spacing w:after="0" w:line="253" w:lineRule="auto"/>
        <w:tabs>
          <w:tab w:leader="none" w:pos="1400" w:val="left"/>
        </w:tabs>
        <w:numPr>
          <w:ilvl w:val="1"/>
          <w:numId w:val="249"/>
        </w:numPr>
        <w:rPr>
          <w:rFonts w:ascii="Calibri" w:cs="Calibri" w:eastAsia="Calibri" w:hAnsi="Calibri"/>
          <w:sz w:val="18"/>
          <w:szCs w:val="18"/>
          <w:color w:val="auto"/>
        </w:rPr>
      </w:pPr>
      <w:r>
        <w:rPr>
          <w:rFonts w:ascii="Arial" w:cs="Arial" w:eastAsia="Arial" w:hAnsi="Arial"/>
          <w:sz w:val="20"/>
          <w:szCs w:val="20"/>
          <w:b w:val="1"/>
          <w:bCs w:val="1"/>
          <w:color w:val="auto"/>
        </w:rPr>
        <w:t>Options</w:t>
      </w:r>
      <w:r>
        <w:rPr>
          <w:rFonts w:ascii="Arial" w:cs="Arial" w:eastAsia="Arial" w:hAnsi="Arial"/>
          <w:sz w:val="20"/>
          <w:szCs w:val="20"/>
          <w:color w:val="auto"/>
        </w:rPr>
        <w:t>, which are Awards under which the Participant can buy Shares, to the extent the Award has Vested,</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Exercise Period at a price set when the Option is granted.</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Share-based Awards may be settled in cash under Rule 9 (</w:t>
      </w:r>
      <w:r>
        <w:rPr>
          <w:rFonts w:ascii="Arial" w:cs="Arial" w:eastAsia="Arial" w:hAnsi="Arial"/>
          <w:sz w:val="20"/>
          <w:szCs w:val="20"/>
          <w:i w:val="1"/>
          <w:iCs w:val="1"/>
          <w:color w:val="auto"/>
        </w:rPr>
        <w:t>Cash Alternative)</w:t>
      </w:r>
      <w:r>
        <w:rPr>
          <w:rFonts w:ascii="Arial" w:cs="Arial" w:eastAsia="Arial" w:hAnsi="Arial"/>
          <w:sz w:val="20"/>
          <w:szCs w:val="20"/>
          <w:color w:val="auto"/>
        </w:rPr>
        <w:t xml:space="preserve"> where applicable.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ISO Options may be granted to eligible US Taxpayers, to the extent permitted or desirable.</w:t>
      </w:r>
    </w:p>
    <w:p>
      <w:pPr>
        <w:spacing w:after="0" w:line="214" w:lineRule="exact"/>
        <w:rPr>
          <w:sz w:val="20"/>
          <w:szCs w:val="20"/>
          <w:color w:val="auto"/>
        </w:rPr>
      </w:pPr>
    </w:p>
    <w:p>
      <w:pPr>
        <w:ind w:left="760" w:hanging="647"/>
        <w:spacing w:after="0"/>
        <w:tabs>
          <w:tab w:leader="none" w:pos="760" w:val="left"/>
        </w:tabs>
        <w:numPr>
          <w:ilvl w:val="0"/>
          <w:numId w:val="250"/>
        </w:numPr>
        <w:rPr>
          <w:rFonts w:ascii="Calibri" w:cs="Calibri" w:eastAsia="Calibri" w:hAnsi="Calibri"/>
          <w:sz w:val="20"/>
          <w:szCs w:val="20"/>
          <w:color w:val="auto"/>
        </w:rPr>
      </w:pPr>
      <w:r>
        <w:rPr>
          <w:rFonts w:ascii="Arial" w:cs="Arial" w:eastAsia="Arial" w:hAnsi="Arial"/>
          <w:sz w:val="20"/>
          <w:szCs w:val="20"/>
          <w:b w:val="1"/>
          <w:bCs w:val="1"/>
          <w:color w:val="auto"/>
        </w:rPr>
        <w:t>DEFINITIONS AND INTERPRETATION</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In the Plan, unless the context otherwise requires:</w:t>
      </w:r>
    </w:p>
    <w:p>
      <w:pPr>
        <w:spacing w:after="0" w:line="187" w:lineRule="exact"/>
        <w:rPr>
          <w:sz w:val="20"/>
          <w:szCs w:val="20"/>
          <w:color w:val="auto"/>
        </w:rPr>
      </w:pPr>
    </w:p>
    <w:p>
      <w:pPr>
        <w:jc w:val="both"/>
        <w:ind w:left="760"/>
        <w:spacing w:after="0" w:line="286" w:lineRule="auto"/>
        <w:rPr>
          <w:sz w:val="20"/>
          <w:szCs w:val="20"/>
          <w:color w:val="auto"/>
        </w:rPr>
      </w:pPr>
      <w:r>
        <w:rPr>
          <w:rFonts w:ascii="Arial" w:cs="Arial" w:eastAsia="Arial" w:hAnsi="Arial"/>
          <w:sz w:val="19"/>
          <w:szCs w:val="19"/>
          <w:b w:val="1"/>
          <w:bCs w:val="1"/>
          <w:color w:val="auto"/>
        </w:rPr>
        <w:t xml:space="preserve">"ADS" </w:t>
      </w:r>
      <w:r>
        <w:rPr>
          <w:rFonts w:ascii="Arial" w:cs="Arial" w:eastAsia="Arial" w:hAnsi="Arial"/>
          <w:sz w:val="19"/>
          <w:szCs w:val="19"/>
          <w:color w:val="auto"/>
        </w:rPr>
        <w:t>means an American Depositary Share (also known as an American Depositary Receipt or ADS),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represents 1 ordinary share of nominal value £0.04 in the capital of the Company (the underlying Ordinary Share);</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"Award" </w:t>
      </w:r>
      <w:r>
        <w:rPr>
          <w:rFonts w:ascii="Arial" w:cs="Arial" w:eastAsia="Arial" w:hAnsi="Arial"/>
          <w:sz w:val="20"/>
          <w:szCs w:val="20"/>
          <w:color w:val="auto"/>
        </w:rPr>
        <w:t>means a Conditional Award or an Option;</w:t>
      </w:r>
    </w:p>
    <w:p>
      <w:pPr>
        <w:spacing w:after="0" w:line="189"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20"/>
          <w:szCs w:val="20"/>
          <w:b w:val="1"/>
          <w:bCs w:val="1"/>
          <w:color w:val="auto"/>
        </w:rPr>
        <w:t xml:space="preserve">"Board" </w:t>
      </w:r>
      <w:r>
        <w:rPr>
          <w:rFonts w:ascii="Arial" w:cs="Arial" w:eastAsia="Arial" w:hAnsi="Arial"/>
          <w:sz w:val="20"/>
          <w:szCs w:val="20"/>
          <w:color w:val="auto"/>
        </w:rPr>
        <w:t>means the board of directors of the Company or a duly authorised committee of the Board or a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authorised person;</w:t>
      </w:r>
    </w:p>
    <w:p>
      <w:pPr>
        <w:spacing w:after="0" w:line="125"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b w:val="1"/>
          <w:bCs w:val="1"/>
          <w:color w:val="auto"/>
        </w:rPr>
        <w:t xml:space="preserve">"Committee" </w:t>
      </w:r>
      <w:r>
        <w:rPr>
          <w:rFonts w:ascii="Arial" w:cs="Arial" w:eastAsia="Arial" w:hAnsi="Arial"/>
          <w:sz w:val="20"/>
          <w:szCs w:val="20"/>
          <w:color w:val="auto"/>
        </w:rPr>
        <w:t>means the remuneration committee of the Board or, on and after the occurrence of a corporate event</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Rule 12 (</w:t>
      </w:r>
      <w:r>
        <w:rPr>
          <w:rFonts w:ascii="Arial" w:cs="Arial" w:eastAsia="Arial" w:hAnsi="Arial"/>
          <w:sz w:val="20"/>
          <w:szCs w:val="20"/>
          <w:i w:val="1"/>
          <w:iCs w:val="1"/>
          <w:color w:val="auto"/>
        </w:rPr>
        <w:t>Takeovers and other corporate events</w:t>
      </w:r>
      <w:r>
        <w:rPr>
          <w:rFonts w:ascii="Arial" w:cs="Arial" w:eastAsia="Arial" w:hAnsi="Arial"/>
          <w:sz w:val="20"/>
          <w:szCs w:val="20"/>
          <w:color w:val="auto"/>
        </w:rPr>
        <w:t>), the remuneration committee of the Board as constituted immediately before such event occurs;</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w:t>
      </w:r>
      <w:r>
        <w:rPr>
          <w:rFonts w:ascii="Arial" w:cs="Arial" w:eastAsia="Arial" w:hAnsi="Arial"/>
          <w:sz w:val="20"/>
          <w:szCs w:val="20"/>
          <w:b w:val="1"/>
          <w:bCs w:val="1"/>
          <w:color w:val="auto"/>
        </w:rPr>
        <w:t xml:space="preserve"> NuCana plc </w:t>
      </w:r>
      <w:r>
        <w:rPr>
          <w:rFonts w:ascii="Arial" w:cs="Arial" w:eastAsia="Arial" w:hAnsi="Arial"/>
          <w:sz w:val="20"/>
          <w:szCs w:val="20"/>
          <w:color w:val="auto"/>
        </w:rPr>
        <w:t>(registered in England and Wales with registered number 03308778);</w:t>
      </w:r>
    </w:p>
    <w:p>
      <w:pPr>
        <w:spacing w:after="0" w:line="175"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20"/>
          <w:szCs w:val="20"/>
          <w:b w:val="1"/>
          <w:bCs w:val="1"/>
          <w:color w:val="auto"/>
        </w:rPr>
        <w:t xml:space="preserve">"Conditional Award" </w:t>
      </w:r>
      <w:r>
        <w:rPr>
          <w:rFonts w:ascii="Arial" w:cs="Arial" w:eastAsia="Arial" w:hAnsi="Arial"/>
          <w:sz w:val="20"/>
          <w:szCs w:val="20"/>
          <w:color w:val="auto"/>
        </w:rPr>
        <w:t>means a conditional right to acquire Shares granted under the Plan which is designated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conditional award under Rule 4.2 (</w:t>
      </w:r>
      <w:r>
        <w:rPr>
          <w:rFonts w:ascii="Arial" w:cs="Arial" w:eastAsia="Arial" w:hAnsi="Arial"/>
          <w:sz w:val="20"/>
          <w:szCs w:val="20"/>
          <w:i w:val="1"/>
          <w:iCs w:val="1"/>
          <w:color w:val="auto"/>
        </w:rPr>
        <w:t>Type of Award</w:t>
      </w:r>
      <w:r>
        <w:rPr>
          <w:rFonts w:ascii="Arial" w:cs="Arial" w:eastAsia="Arial" w:hAnsi="Arial"/>
          <w:sz w:val="20"/>
          <w:szCs w:val="20"/>
          <w:color w:val="auto"/>
        </w:rPr>
        <w:t>);</w:t>
      </w:r>
    </w:p>
    <w:p>
      <w:pPr>
        <w:spacing w:after="0" w:line="125" w:lineRule="exact"/>
        <w:rPr>
          <w:sz w:val="20"/>
          <w:szCs w:val="20"/>
          <w:color w:val="auto"/>
        </w:rPr>
      </w:pPr>
    </w:p>
    <w:p>
      <w:pPr>
        <w:jc w:val="both"/>
        <w:ind w:left="760"/>
        <w:spacing w:after="0" w:line="259" w:lineRule="auto"/>
        <w:rPr>
          <w:sz w:val="20"/>
          <w:szCs w:val="20"/>
          <w:color w:val="auto"/>
        </w:rPr>
      </w:pPr>
      <w:r>
        <w:rPr>
          <w:rFonts w:ascii="Arial" w:cs="Arial" w:eastAsia="Arial" w:hAnsi="Arial"/>
          <w:sz w:val="20"/>
          <w:szCs w:val="20"/>
          <w:b w:val="1"/>
          <w:bCs w:val="1"/>
          <w:color w:val="auto"/>
        </w:rPr>
        <w:t xml:space="preserve">"Consultant" </w:t>
      </w:r>
      <w:r>
        <w:rPr>
          <w:rFonts w:ascii="Arial" w:cs="Arial" w:eastAsia="Arial" w:hAnsi="Arial"/>
          <w:sz w:val="20"/>
          <w:szCs w:val="20"/>
          <w:color w:val="auto"/>
        </w:rPr>
        <w:t>means an individual who is contracted to provide services to a Participating Company or a Group</w:t>
      </w:r>
      <w:r>
        <w:rPr>
          <w:rFonts w:ascii="Arial" w:cs="Arial" w:eastAsia="Arial" w:hAnsi="Arial"/>
          <w:sz w:val="20"/>
          <w:szCs w:val="20"/>
          <w:b w:val="1"/>
          <w:bCs w:val="1"/>
          <w:color w:val="auto"/>
        </w:rPr>
        <w:t xml:space="preserve"> </w:t>
      </w:r>
      <w:r>
        <w:rPr>
          <w:rFonts w:ascii="Arial" w:cs="Arial" w:eastAsia="Arial" w:hAnsi="Arial"/>
          <w:sz w:val="20"/>
          <w:szCs w:val="20"/>
          <w:color w:val="auto"/>
        </w:rPr>
        <w:t>Member (as applicable) and who is not an employee or director of that company;</w:t>
      </w:r>
    </w:p>
    <w:p>
      <w:pPr>
        <w:spacing w:after="0" w:line="138" w:lineRule="exact"/>
        <w:rPr>
          <w:sz w:val="20"/>
          <w:szCs w:val="20"/>
          <w:color w:val="auto"/>
        </w:rPr>
      </w:pPr>
    </w:p>
    <w:p>
      <w:pPr>
        <w:ind w:left="760" w:right="4280"/>
        <w:spacing w:after="0" w:line="437" w:lineRule="auto"/>
        <w:rPr>
          <w:sz w:val="20"/>
          <w:szCs w:val="20"/>
          <w:color w:val="auto"/>
        </w:rPr>
      </w:pPr>
      <w:r>
        <w:rPr>
          <w:rFonts w:ascii="Arial" w:cs="Arial" w:eastAsia="Arial" w:hAnsi="Arial"/>
          <w:sz w:val="20"/>
          <w:szCs w:val="20"/>
          <w:b w:val="1"/>
          <w:bCs w:val="1"/>
          <w:color w:val="auto"/>
        </w:rPr>
        <w:t xml:space="preserve">"Control" </w:t>
      </w:r>
      <w:r>
        <w:rPr>
          <w:rFonts w:ascii="Arial" w:cs="Arial" w:eastAsia="Arial" w:hAnsi="Arial"/>
          <w:sz w:val="20"/>
          <w:szCs w:val="20"/>
          <w:color w:val="auto"/>
        </w:rPr>
        <w:t>means control within the meaning of section 719 of ITEPA;</w:t>
      </w:r>
      <w:r>
        <w:rPr>
          <w:rFonts w:ascii="Arial" w:cs="Arial" w:eastAsia="Arial" w:hAnsi="Arial"/>
          <w:sz w:val="20"/>
          <w:szCs w:val="20"/>
          <w:b w:val="1"/>
          <w:bCs w:val="1"/>
          <w:color w:val="auto"/>
        </w:rPr>
        <w:t xml:space="preserve"> "Early Vesting Date" </w:t>
      </w:r>
      <w:r>
        <w:rPr>
          <w:rFonts w:ascii="Arial" w:cs="Arial" w:eastAsia="Arial" w:hAnsi="Arial"/>
          <w:sz w:val="20"/>
          <w:szCs w:val="20"/>
          <w:color w:val="auto"/>
        </w:rPr>
        <w:t>means either:</w:t>
      </w:r>
    </w:p>
    <w:p>
      <w:pPr>
        <w:spacing w:after="0" w:line="1" w:lineRule="exact"/>
        <w:rPr>
          <w:sz w:val="20"/>
          <w:szCs w:val="20"/>
          <w:color w:val="auto"/>
        </w:rPr>
      </w:pPr>
    </w:p>
    <w:p>
      <w:pPr>
        <w:ind w:left="1400" w:right="20" w:hanging="628"/>
        <w:spacing w:after="0" w:line="256" w:lineRule="auto"/>
        <w:tabs>
          <w:tab w:leader="none" w:pos="1400" w:val="left"/>
        </w:tabs>
        <w:numPr>
          <w:ilvl w:val="0"/>
          <w:numId w:val="251"/>
        </w:numPr>
        <w:rPr>
          <w:rFonts w:ascii="Times New Roman" w:cs="Times New Roman" w:eastAsia="Times New Roman" w:hAnsi="Times New Roman"/>
          <w:sz w:val="20"/>
          <w:szCs w:val="20"/>
          <w:color w:val="auto"/>
        </w:rPr>
      </w:pPr>
      <w:r>
        <w:rPr>
          <w:rFonts w:ascii="Arial" w:cs="Arial" w:eastAsia="Arial" w:hAnsi="Arial"/>
          <w:sz w:val="20"/>
          <w:szCs w:val="20"/>
          <w:color w:val="auto"/>
        </w:rPr>
        <w:t>the date of Vesting referred to in Rule 12.1 (</w:t>
      </w:r>
      <w:r>
        <w:rPr>
          <w:rFonts w:ascii="Arial" w:cs="Arial" w:eastAsia="Arial" w:hAnsi="Arial"/>
          <w:sz w:val="20"/>
          <w:szCs w:val="20"/>
          <w:i w:val="1"/>
          <w:iCs w:val="1"/>
          <w:color w:val="auto"/>
        </w:rPr>
        <w:t>General offers</w:t>
      </w:r>
      <w:r>
        <w:rPr>
          <w:rFonts w:ascii="Arial" w:cs="Arial" w:eastAsia="Arial" w:hAnsi="Arial"/>
          <w:sz w:val="20"/>
          <w:szCs w:val="20"/>
          <w:color w:val="auto"/>
        </w:rPr>
        <w:t>), Rule 12.2 (</w:t>
      </w:r>
      <w:r>
        <w:rPr>
          <w:rFonts w:ascii="Arial" w:cs="Arial" w:eastAsia="Arial" w:hAnsi="Arial"/>
          <w:sz w:val="20"/>
          <w:szCs w:val="20"/>
          <w:i w:val="1"/>
          <w:iCs w:val="1"/>
          <w:color w:val="auto"/>
        </w:rPr>
        <w:t>Schemes of arrangement and winding</w:t>
      </w:r>
      <w:r>
        <w:rPr>
          <w:rFonts w:ascii="Arial" w:cs="Arial" w:eastAsia="Arial" w:hAnsi="Arial"/>
          <w:sz w:val="20"/>
          <w:szCs w:val="20"/>
          <w:color w:val="auto"/>
        </w:rPr>
        <w:t xml:space="preserve"> </w:t>
      </w:r>
      <w:r>
        <w:rPr>
          <w:rFonts w:ascii="Arial" w:cs="Arial" w:eastAsia="Arial" w:hAnsi="Arial"/>
          <w:sz w:val="20"/>
          <w:szCs w:val="20"/>
          <w:i w:val="1"/>
          <w:iCs w:val="1"/>
          <w:color w:val="auto"/>
        </w:rPr>
        <w:t>up</w:t>
      </w:r>
      <w:r>
        <w:rPr>
          <w:rFonts w:ascii="Arial" w:cs="Arial" w:eastAsia="Arial" w:hAnsi="Arial"/>
          <w:sz w:val="20"/>
          <w:szCs w:val="20"/>
          <w:color w:val="auto"/>
        </w:rPr>
        <w:t>) or Rule 12.3 (</w:t>
      </w:r>
      <w:r>
        <w:rPr>
          <w:rFonts w:ascii="Arial" w:cs="Arial" w:eastAsia="Arial" w:hAnsi="Arial"/>
          <w:sz w:val="20"/>
          <w:szCs w:val="20"/>
          <w:i w:val="1"/>
          <w:iCs w:val="1"/>
          <w:color w:val="auto"/>
        </w:rPr>
        <w:t>Demergers and similar events</w:t>
      </w:r>
      <w:r>
        <w:rPr>
          <w:rFonts w:ascii="Arial" w:cs="Arial" w:eastAsia="Arial" w:hAnsi="Arial"/>
          <w:sz w:val="20"/>
          <w:szCs w:val="20"/>
          <w:color w:val="auto"/>
        </w:rPr>
        <w:t>) (as applicable);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81" w:name="page282"/>
    <w:bookmarkEnd w:id="281"/>
    <w:p>
      <w:pPr>
        <w:ind w:left="1380" w:right="20" w:hanging="628"/>
        <w:spacing w:after="0" w:line="256" w:lineRule="auto"/>
        <w:tabs>
          <w:tab w:leader="none" w:pos="1380" w:val="left"/>
        </w:tabs>
        <w:numPr>
          <w:ilvl w:val="0"/>
          <w:numId w:val="252"/>
        </w:numPr>
        <w:rPr>
          <w:rFonts w:ascii="Times New Roman" w:cs="Times New Roman" w:eastAsia="Times New Roman" w:hAnsi="Times New Roman"/>
          <w:sz w:val="20"/>
          <w:szCs w:val="20"/>
          <w:color w:val="auto"/>
        </w:rPr>
      </w:pPr>
      <w:r>
        <w:rPr>
          <w:rFonts w:ascii="Arial" w:cs="Arial" w:eastAsia="Arial" w:hAnsi="Arial"/>
          <w:sz w:val="20"/>
          <w:szCs w:val="20"/>
          <w:color w:val="auto"/>
        </w:rPr>
        <w:t>such other date on which the Committee allows Discretionary Vesting before the Normal Vesting Date in accordance with Rule 6.1 (</w:t>
      </w:r>
      <w:r>
        <w:rPr>
          <w:rFonts w:ascii="Arial" w:cs="Arial" w:eastAsia="Arial" w:hAnsi="Arial"/>
          <w:sz w:val="20"/>
          <w:szCs w:val="20"/>
          <w:i w:val="1"/>
          <w:iCs w:val="1"/>
          <w:color w:val="auto"/>
        </w:rPr>
        <w:t>Timing of Vesting: Normal Vesting Date</w:t>
      </w:r>
      <w:r>
        <w:rPr>
          <w:rFonts w:ascii="Arial" w:cs="Arial" w:eastAsia="Arial" w:hAnsi="Arial"/>
          <w:sz w:val="20"/>
          <w:szCs w:val="20"/>
          <w:color w:val="auto"/>
        </w:rPr>
        <w:t>);</w:t>
      </w:r>
    </w:p>
    <w:p>
      <w:pPr>
        <w:spacing w:after="0" w:line="127"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b w:val="1"/>
          <w:bCs w:val="1"/>
          <w:color w:val="auto"/>
        </w:rPr>
        <w:t xml:space="preserve">"Eligible Person" </w:t>
      </w:r>
      <w:r>
        <w:rPr>
          <w:rFonts w:ascii="Arial" w:cs="Arial" w:eastAsia="Arial" w:hAnsi="Arial"/>
          <w:sz w:val="20"/>
          <w:szCs w:val="20"/>
          <w:color w:val="auto"/>
        </w:rPr>
        <w:t>means an individual who is an Employee or director (including a non- executive director) of, or a</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 to, a Participating Company, provided, however, that an individual who is subject to Section 409A of the IRS Code will not be an Eligible Person unless he or she is an employee of, or a director to, the Company or a Subsidiary in which the Company has a “controlling interest” (for purposes of US Code Section 409A). ;</w:t>
      </w:r>
    </w:p>
    <w:p>
      <w:pPr>
        <w:spacing w:after="0" w:line="172" w:lineRule="exact"/>
        <w:rPr>
          <w:sz w:val="20"/>
          <w:szCs w:val="20"/>
          <w:color w:val="auto"/>
        </w:rPr>
      </w:pPr>
    </w:p>
    <w:p>
      <w:pPr>
        <w:jc w:val="both"/>
        <w:ind w:left="740"/>
        <w:spacing w:after="0" w:line="242" w:lineRule="auto"/>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means any employee of a Group Member (including, without limitation, an employee who is also serving</w:t>
      </w:r>
      <w:r>
        <w:rPr>
          <w:rFonts w:ascii="Arial" w:cs="Arial" w:eastAsia="Arial" w:hAnsi="Arial"/>
          <w:sz w:val="20"/>
          <w:szCs w:val="20"/>
          <w:b w:val="1"/>
          <w:bCs w:val="1"/>
          <w:color w:val="auto"/>
        </w:rPr>
        <w:t xml:space="preserve"> </w:t>
      </w:r>
      <w:r>
        <w:rPr>
          <w:rFonts w:ascii="Arial" w:cs="Arial" w:eastAsia="Arial" w:hAnsi="Arial"/>
          <w:sz w:val="20"/>
          <w:szCs w:val="20"/>
          <w:color w:val="auto"/>
        </w:rPr>
        <w:t>as an officer or director of the Company or a Subsidiary), designated by the Committee to be eligible to be granted one or more Awards under the Plan;</w:t>
      </w:r>
    </w:p>
    <w:p>
      <w:pPr>
        <w:spacing w:after="0" w:line="141" w:lineRule="exact"/>
        <w:rPr>
          <w:sz w:val="20"/>
          <w:szCs w:val="20"/>
          <w:color w:val="auto"/>
        </w:rPr>
      </w:pPr>
    </w:p>
    <w:p>
      <w:pPr>
        <w:jc w:val="both"/>
        <w:ind w:left="740"/>
        <w:spacing w:after="0" w:line="242" w:lineRule="auto"/>
        <w:rPr>
          <w:sz w:val="20"/>
          <w:szCs w:val="20"/>
          <w:color w:val="auto"/>
        </w:rPr>
      </w:pPr>
      <w:r>
        <w:rPr>
          <w:rFonts w:ascii="Arial" w:cs="Arial" w:eastAsia="Arial" w:hAnsi="Arial"/>
          <w:sz w:val="20"/>
          <w:szCs w:val="20"/>
          <w:b w:val="1"/>
          <w:bCs w:val="1"/>
          <w:color w:val="auto"/>
        </w:rPr>
        <w:t xml:space="preserve">"Employer Social Security Liability" </w:t>
      </w:r>
      <w:r>
        <w:rPr>
          <w:rFonts w:ascii="Arial" w:cs="Arial" w:eastAsia="Arial" w:hAnsi="Arial"/>
          <w:sz w:val="20"/>
          <w:szCs w:val="20"/>
          <w:color w:val="auto"/>
        </w:rPr>
        <w:t>means employer's national insurance contributions (secondary class 1) or</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 in jurisdictions other than the UK, to the extent lawfully recoverable from the relevant employee, for which any Group Member or former Group Member is liable to account to the relevant authority;</w:t>
      </w:r>
    </w:p>
    <w:p>
      <w:pPr>
        <w:spacing w:after="0" w:line="168" w:lineRule="exact"/>
        <w:rPr>
          <w:sz w:val="20"/>
          <w:szCs w:val="20"/>
          <w:color w:val="auto"/>
        </w:rPr>
      </w:pPr>
    </w:p>
    <w:p>
      <w:pPr>
        <w:jc w:val="both"/>
        <w:ind w:left="74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Engaged Person</w:t>
      </w:r>
      <w:r>
        <w:rPr>
          <w:rFonts w:ascii="Arial" w:cs="Arial" w:eastAsia="Arial" w:hAnsi="Arial"/>
          <w:sz w:val="20"/>
          <w:szCs w:val="20"/>
          <w:color w:val="auto"/>
        </w:rPr>
        <w:t>” means an individual who is an employee or director (including a non- executive director) of, or a Consultant to, a Group Member;</w:t>
      </w:r>
    </w:p>
    <w:p>
      <w:pPr>
        <w:spacing w:after="0" w:line="138" w:lineRule="exact"/>
        <w:rPr>
          <w:sz w:val="20"/>
          <w:szCs w:val="20"/>
          <w:color w:val="auto"/>
        </w:rPr>
      </w:pPr>
    </w:p>
    <w:p>
      <w:pPr>
        <w:jc w:val="both"/>
        <w:ind w:left="740" w:right="20"/>
        <w:spacing w:after="0" w:line="259" w:lineRule="auto"/>
        <w:rPr>
          <w:sz w:val="20"/>
          <w:szCs w:val="20"/>
          <w:color w:val="auto"/>
        </w:rPr>
      </w:pPr>
      <w:r>
        <w:rPr>
          <w:rFonts w:ascii="Arial" w:cs="Arial" w:eastAsia="Arial" w:hAnsi="Arial"/>
          <w:sz w:val="20"/>
          <w:szCs w:val="20"/>
          <w:b w:val="1"/>
          <w:bCs w:val="1"/>
          <w:color w:val="auto"/>
        </w:rPr>
        <w:t xml:space="preserve">"Exercise Period" </w:t>
      </w:r>
      <w:r>
        <w:rPr>
          <w:rFonts w:ascii="Arial" w:cs="Arial" w:eastAsia="Arial" w:hAnsi="Arial"/>
          <w:sz w:val="20"/>
          <w:szCs w:val="20"/>
          <w:color w:val="auto"/>
        </w:rPr>
        <w:t>means the</w:t>
      </w:r>
      <w:r>
        <w:rPr>
          <w:rFonts w:ascii="Arial" w:cs="Arial" w:eastAsia="Arial" w:hAnsi="Arial"/>
          <w:sz w:val="20"/>
          <w:szCs w:val="20"/>
          <w:b w:val="1"/>
          <w:bCs w:val="1"/>
          <w:color w:val="auto"/>
        </w:rPr>
        <w:t xml:space="preserve"> </w:t>
      </w:r>
      <w:r>
        <w:rPr>
          <w:rFonts w:ascii="Arial" w:cs="Arial" w:eastAsia="Arial" w:hAnsi="Arial"/>
          <w:sz w:val="20"/>
          <w:szCs w:val="20"/>
          <w:color w:val="39393A"/>
        </w:rPr>
        <w:t>ten-year period commencing on the Grant Date;</w:t>
      </w:r>
      <w:r>
        <w:rPr>
          <w:rFonts w:ascii="Arial" w:cs="Arial" w:eastAsia="Arial" w:hAnsi="Arial"/>
          <w:sz w:val="20"/>
          <w:szCs w:val="20"/>
          <w:b w:val="1"/>
          <w:bCs w:val="1"/>
          <w:color w:val="auto"/>
        </w:rPr>
        <w:t xml:space="preserve"> </w:t>
      </w:r>
      <w:r>
        <w:rPr>
          <w:rFonts w:ascii="Arial" w:cs="Arial" w:eastAsia="Arial" w:hAnsi="Arial"/>
          <w:sz w:val="20"/>
          <w:szCs w:val="20"/>
          <w:color w:val="auto"/>
        </w:rPr>
        <w:t>as referred to in Rule 7.2 during which</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may be exercised;</w:t>
      </w:r>
    </w:p>
    <w:p>
      <w:pPr>
        <w:spacing w:after="0" w:line="125" w:lineRule="exact"/>
        <w:rPr>
          <w:sz w:val="20"/>
          <w:szCs w:val="20"/>
          <w:color w:val="auto"/>
        </w:rPr>
      </w:pPr>
    </w:p>
    <w:p>
      <w:pPr>
        <w:jc w:val="both"/>
        <w:ind w:left="740"/>
        <w:spacing w:after="0" w:line="230" w:lineRule="auto"/>
        <w:rPr>
          <w:sz w:val="20"/>
          <w:szCs w:val="20"/>
          <w:color w:val="auto"/>
        </w:rPr>
      </w:pPr>
      <w:r>
        <w:rPr>
          <w:rFonts w:ascii="Arial" w:cs="Arial" w:eastAsia="Arial" w:hAnsi="Arial"/>
          <w:sz w:val="20"/>
          <w:szCs w:val="20"/>
          <w:b w:val="1"/>
          <w:bCs w:val="1"/>
          <w:color w:val="auto"/>
        </w:rPr>
        <w:t xml:space="preserve">"Fair Market Value" </w:t>
      </w:r>
      <w:r>
        <w:rPr>
          <w:rFonts w:ascii="Arial" w:cs="Arial" w:eastAsia="Arial" w:hAnsi="Arial"/>
          <w:sz w:val="20"/>
          <w:szCs w:val="20"/>
          <w:color w:val="auto"/>
        </w:rPr>
        <w:t>means, with respect to a Share, as of any date (i) if the Shares are admitted to trading on a</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exchange, the closing price of a Share on the preceding day on such securities exchange or, if no such sale is reported on that date, on the last preceding date on which a sale was so reported; (ii) if the Shares are not at the time listed or admitted to trading on a stock exchange, the closing average of the closing bid and asked price of a Share on the preceding day in the over-the-counter market, as such price is reported in a publication of general circulation selected by the Committee and regularly reporting the market price of the Shares in such market; or (iii) if the Shares are not listed or admitted to trading on any stock exchange or traded in the over-the-counter market, as determined by the Committee in good faith using a reasonable application of a reasonable valuation method. For purposes of Options granted to US Taxpayers, Fair Market Value shall also be determined in a manner compliant with Section 409A or, in the case of an ISO Option, in compliance with Section 422 of the IRS Code.</w:t>
      </w:r>
    </w:p>
    <w:p>
      <w:pPr>
        <w:spacing w:after="0" w:line="159" w:lineRule="exact"/>
        <w:rPr>
          <w:sz w:val="20"/>
          <w:szCs w:val="20"/>
          <w:color w:val="auto"/>
        </w:rPr>
      </w:pPr>
    </w:p>
    <w:p>
      <w:pPr>
        <w:ind w:left="740" w:right="4360"/>
        <w:spacing w:after="0" w:line="444" w:lineRule="auto"/>
        <w:rPr>
          <w:sz w:val="20"/>
          <w:szCs w:val="20"/>
          <w:color w:val="auto"/>
        </w:rPr>
      </w:pPr>
      <w:r>
        <w:rPr>
          <w:rFonts w:ascii="Arial" w:cs="Arial" w:eastAsia="Arial" w:hAnsi="Arial"/>
          <w:sz w:val="19"/>
          <w:szCs w:val="19"/>
          <w:b w:val="1"/>
          <w:bCs w:val="1"/>
          <w:color w:val="auto"/>
        </w:rPr>
        <w:t xml:space="preserve">"Grant Date" </w:t>
      </w:r>
      <w:r>
        <w:rPr>
          <w:rFonts w:ascii="Arial" w:cs="Arial" w:eastAsia="Arial" w:hAnsi="Arial"/>
          <w:sz w:val="19"/>
          <w:szCs w:val="19"/>
          <w:color w:val="auto"/>
        </w:rPr>
        <w:t>means the date on which an Award is granted;</w:t>
      </w:r>
      <w:r>
        <w:rPr>
          <w:rFonts w:ascii="Arial" w:cs="Arial" w:eastAsia="Arial" w:hAnsi="Arial"/>
          <w:sz w:val="19"/>
          <w:szCs w:val="19"/>
          <w:b w:val="1"/>
          <w:bCs w:val="1"/>
          <w:color w:val="auto"/>
        </w:rPr>
        <w:t xml:space="preserve"> "Group Member" </w:t>
      </w:r>
      <w:r>
        <w:rPr>
          <w:rFonts w:ascii="Arial" w:cs="Arial" w:eastAsia="Arial" w:hAnsi="Arial"/>
          <w:sz w:val="19"/>
          <w:szCs w:val="19"/>
          <w:color w:val="auto"/>
        </w:rPr>
        <w:t>means each of the Company and its Subsidiaries;</w:t>
      </w:r>
    </w:p>
    <w:p>
      <w:pPr>
        <w:spacing w:after="0" w:line="2" w:lineRule="exact"/>
        <w:rPr>
          <w:sz w:val="20"/>
          <w:szCs w:val="20"/>
          <w:color w:val="auto"/>
        </w:rPr>
      </w:pPr>
    </w:p>
    <w:p>
      <w:pPr>
        <w:ind w:left="840"/>
        <w:spacing w:after="0" w:line="259" w:lineRule="auto"/>
        <w:rPr>
          <w:sz w:val="20"/>
          <w:szCs w:val="20"/>
          <w:color w:val="auto"/>
        </w:rPr>
      </w:pPr>
      <w:r>
        <w:rPr>
          <w:rFonts w:ascii="Arial" w:cs="Arial" w:eastAsia="Arial" w:hAnsi="Arial"/>
          <w:sz w:val="20"/>
          <w:szCs w:val="20"/>
          <w:b w:val="1"/>
          <w:bCs w:val="1"/>
          <w:color w:val="auto"/>
        </w:rPr>
        <w:t xml:space="preserve">"IRS Code" </w:t>
      </w:r>
      <w:r>
        <w:rPr>
          <w:rFonts w:ascii="Arial" w:cs="Arial" w:eastAsia="Arial" w:hAnsi="Arial"/>
          <w:sz w:val="20"/>
          <w:szCs w:val="20"/>
          <w:color w:val="auto"/>
        </w:rPr>
        <w:t>means the United States Internal Revenue Code, as the same may be amended from time to time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successor thereto;</w:t>
      </w:r>
    </w:p>
    <w:p>
      <w:pPr>
        <w:spacing w:after="0" w:line="152" w:lineRule="exact"/>
        <w:rPr>
          <w:sz w:val="20"/>
          <w:szCs w:val="20"/>
          <w:color w:val="auto"/>
        </w:rPr>
      </w:pPr>
    </w:p>
    <w:p>
      <w:pPr>
        <w:ind w:left="840"/>
        <w:spacing w:after="0" w:line="259" w:lineRule="auto"/>
        <w:rPr>
          <w:sz w:val="20"/>
          <w:szCs w:val="20"/>
          <w:color w:val="auto"/>
        </w:rPr>
      </w:pPr>
      <w:r>
        <w:rPr>
          <w:rFonts w:ascii="Arial" w:cs="Arial" w:eastAsia="Arial" w:hAnsi="Arial"/>
          <w:sz w:val="20"/>
          <w:szCs w:val="20"/>
          <w:b w:val="1"/>
          <w:bCs w:val="1"/>
          <w:color w:val="auto"/>
        </w:rPr>
        <w:t xml:space="preserve">"ISO Option" </w:t>
      </w:r>
      <w:r>
        <w:rPr>
          <w:rFonts w:ascii="Arial" w:cs="Arial" w:eastAsia="Arial" w:hAnsi="Arial"/>
          <w:sz w:val="20"/>
          <w:szCs w:val="20"/>
          <w:color w:val="auto"/>
        </w:rPr>
        <w:t>means an Option granted to an Employee that is intended to be, and qualifies as, an incentive stock</w:t>
      </w:r>
      <w:r>
        <w:rPr>
          <w:rFonts w:ascii="Arial" w:cs="Arial" w:eastAsia="Arial" w:hAnsi="Arial"/>
          <w:sz w:val="20"/>
          <w:szCs w:val="20"/>
          <w:b w:val="1"/>
          <w:bCs w:val="1"/>
          <w:color w:val="auto"/>
        </w:rPr>
        <w:t xml:space="preserve"> </w:t>
      </w:r>
      <w:r>
        <w:rPr>
          <w:rFonts w:ascii="Arial" w:cs="Arial" w:eastAsia="Arial" w:hAnsi="Arial"/>
          <w:sz w:val="20"/>
          <w:szCs w:val="20"/>
          <w:color w:val="auto"/>
        </w:rPr>
        <w:t>option within the meaning of Section 422 of the IRS Code;</w:t>
      </w:r>
    </w:p>
    <w:p>
      <w:pPr>
        <w:spacing w:after="0" w:line="12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"ITEPA" </w:t>
      </w:r>
      <w:r>
        <w:rPr>
          <w:rFonts w:ascii="Arial" w:cs="Arial" w:eastAsia="Arial" w:hAnsi="Arial"/>
          <w:sz w:val="20"/>
          <w:szCs w:val="20"/>
          <w:color w:val="auto"/>
        </w:rPr>
        <w:t>means the Income Tax (Earnings and Pensions) Act 2003;</w:t>
      </w:r>
    </w:p>
    <w:p>
      <w:pPr>
        <w:spacing w:after="0" w:line="189" w:lineRule="exact"/>
        <w:rPr>
          <w:sz w:val="20"/>
          <w:szCs w:val="20"/>
          <w:color w:val="auto"/>
        </w:rPr>
      </w:pPr>
    </w:p>
    <w:p>
      <w:pPr>
        <w:ind w:left="740"/>
        <w:spacing w:after="0" w:line="259" w:lineRule="auto"/>
        <w:rPr>
          <w:sz w:val="20"/>
          <w:szCs w:val="20"/>
          <w:color w:val="auto"/>
        </w:rPr>
      </w:pPr>
      <w:r>
        <w:rPr>
          <w:rFonts w:ascii="Arial" w:cs="Arial" w:eastAsia="Arial" w:hAnsi="Arial"/>
          <w:sz w:val="20"/>
          <w:szCs w:val="20"/>
          <w:b w:val="1"/>
          <w:bCs w:val="1"/>
          <w:color w:val="auto"/>
        </w:rPr>
        <w:t xml:space="preserve">"Normal Vesting Date" </w:t>
      </w:r>
      <w:r>
        <w:rPr>
          <w:rFonts w:ascii="Arial" w:cs="Arial" w:eastAsia="Arial" w:hAnsi="Arial"/>
          <w:sz w:val="20"/>
          <w:szCs w:val="20"/>
          <w:color w:val="auto"/>
        </w:rPr>
        <w:t>means the date on which an Award Vests under Rule 6.1 (</w:t>
      </w:r>
      <w:r>
        <w:rPr>
          <w:rFonts w:ascii="Arial" w:cs="Arial" w:eastAsia="Arial" w:hAnsi="Arial"/>
          <w:sz w:val="20"/>
          <w:szCs w:val="20"/>
          <w:i w:val="1"/>
          <w:iCs w:val="1"/>
          <w:color w:val="auto"/>
        </w:rPr>
        <w:t>Timing of Vesting: Normal Vesting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Date</w:t>
      </w:r>
      <w:r>
        <w:rPr>
          <w:rFonts w:ascii="Arial" w:cs="Arial" w:eastAsia="Arial" w:hAnsi="Arial"/>
          <w:sz w:val="20"/>
          <w:szCs w:val="20"/>
          <w:color w:val="auto"/>
        </w:rPr>
        <w:t>), in the absence of an Early Vesting Date;</w:t>
      </w:r>
    </w:p>
    <w:p>
      <w:pPr>
        <w:spacing w:after="0" w:line="12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"Option" </w:t>
      </w:r>
      <w:r>
        <w:rPr>
          <w:rFonts w:ascii="Arial" w:cs="Arial" w:eastAsia="Arial" w:hAnsi="Arial"/>
          <w:sz w:val="20"/>
          <w:szCs w:val="20"/>
          <w:color w:val="auto"/>
        </w:rPr>
        <w:t>means a right to acquire Shares granted under the Plan which is designated as an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4" w:right="459" w:bottom="1440" w:gutter="0" w:footer="0" w:header="0"/>
        </w:sectPr>
      </w:pPr>
    </w:p>
    <w:bookmarkStart w:id="282" w:name="page283"/>
    <w:bookmarkEnd w:id="282"/>
    <w:p>
      <w:pPr>
        <w:ind w:left="740"/>
        <w:spacing w:after="0"/>
        <w:rPr>
          <w:sz w:val="20"/>
          <w:szCs w:val="20"/>
          <w:color w:val="auto"/>
        </w:rPr>
      </w:pPr>
      <w:r>
        <w:rPr>
          <w:rFonts w:ascii="Arial" w:cs="Arial" w:eastAsia="Arial" w:hAnsi="Arial"/>
          <w:sz w:val="20"/>
          <w:szCs w:val="20"/>
          <w:color w:val="auto"/>
        </w:rPr>
        <w:t>under Rule 4.2 (</w:t>
      </w:r>
      <w:r>
        <w:rPr>
          <w:rFonts w:ascii="Arial" w:cs="Arial" w:eastAsia="Arial" w:hAnsi="Arial"/>
          <w:sz w:val="20"/>
          <w:szCs w:val="20"/>
          <w:i w:val="1"/>
          <w:iCs w:val="1"/>
          <w:color w:val="auto"/>
        </w:rPr>
        <w:t>Type of Award</w:t>
      </w:r>
      <w:r>
        <w:rPr>
          <w:rFonts w:ascii="Arial" w:cs="Arial" w:eastAsia="Arial" w:hAnsi="Arial"/>
          <w:sz w:val="20"/>
          <w:szCs w:val="20"/>
          <w:color w:val="auto"/>
        </w:rPr>
        <w:t>);</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"Option Price" </w:t>
      </w:r>
      <w:r>
        <w:rPr>
          <w:rFonts w:ascii="Arial" w:cs="Arial" w:eastAsia="Arial" w:hAnsi="Arial"/>
          <w:sz w:val="20"/>
          <w:szCs w:val="20"/>
          <w:color w:val="auto"/>
        </w:rPr>
        <w:t>means the amount, if any, payable per Share on the exercise of an Option;</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"Ordinary Shares" </w:t>
      </w:r>
      <w:r>
        <w:rPr>
          <w:rFonts w:ascii="Arial" w:cs="Arial" w:eastAsia="Arial" w:hAnsi="Arial"/>
          <w:sz w:val="20"/>
          <w:szCs w:val="20"/>
          <w:color w:val="auto"/>
        </w:rPr>
        <w:t>means fully paid ordinary shares of nominal value £0.04 in the capital of the Company;</w:t>
      </w:r>
    </w:p>
    <w:p>
      <w:pPr>
        <w:spacing w:after="0" w:line="175" w:lineRule="exact"/>
        <w:rPr>
          <w:sz w:val="20"/>
          <w:szCs w:val="20"/>
          <w:color w:val="auto"/>
        </w:rPr>
      </w:pPr>
    </w:p>
    <w:p>
      <w:pPr>
        <w:jc w:val="both"/>
        <w:ind w:left="740" w:right="100"/>
        <w:spacing w:after="0" w:line="259" w:lineRule="auto"/>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means such Eligible Person to whom an Award is granted including his personal representatives, and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case of ISO Options, the Participant’s Survivor(s);</w:t>
      </w:r>
    </w:p>
    <w:p>
      <w:pPr>
        <w:spacing w:after="0" w:line="13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"Participating Company" </w:t>
      </w:r>
      <w:r>
        <w:rPr>
          <w:rFonts w:ascii="Arial" w:cs="Arial" w:eastAsia="Arial" w:hAnsi="Arial"/>
          <w:sz w:val="20"/>
          <w:szCs w:val="20"/>
          <w:color w:val="auto"/>
        </w:rPr>
        <w:t>means the Company or any Subsidiary of the Company;</w:t>
      </w:r>
    </w:p>
    <w:p>
      <w:pPr>
        <w:spacing w:after="0" w:line="175" w:lineRule="exact"/>
        <w:rPr>
          <w:sz w:val="20"/>
          <w:szCs w:val="20"/>
          <w:color w:val="auto"/>
        </w:rPr>
      </w:pPr>
    </w:p>
    <w:p>
      <w:pPr>
        <w:jc w:val="both"/>
        <w:ind w:left="740" w:right="120"/>
        <w:spacing w:after="0" w:line="259" w:lineRule="auto"/>
        <w:rPr>
          <w:sz w:val="20"/>
          <w:szCs w:val="20"/>
          <w:color w:val="auto"/>
        </w:rPr>
      </w:pPr>
      <w:r>
        <w:rPr>
          <w:rFonts w:ascii="Arial" w:cs="Arial" w:eastAsia="Arial" w:hAnsi="Arial"/>
          <w:sz w:val="20"/>
          <w:szCs w:val="20"/>
          <w:b w:val="1"/>
          <w:bCs w:val="1"/>
          <w:color w:val="auto"/>
        </w:rPr>
        <w:t xml:space="preserve">"Performance Condition" </w:t>
      </w:r>
      <w:r>
        <w:rPr>
          <w:rFonts w:ascii="Arial" w:cs="Arial" w:eastAsia="Arial" w:hAnsi="Arial"/>
          <w:sz w:val="20"/>
          <w:szCs w:val="20"/>
          <w:color w:val="auto"/>
        </w:rPr>
        <w:t>means a condition related to performance which is specified by the Committee under Rule</w:t>
      </w:r>
      <w:r>
        <w:rPr>
          <w:rFonts w:ascii="Arial" w:cs="Arial" w:eastAsia="Arial" w:hAnsi="Arial"/>
          <w:sz w:val="20"/>
          <w:szCs w:val="20"/>
          <w:b w:val="1"/>
          <w:bCs w:val="1"/>
          <w:color w:val="auto"/>
        </w:rPr>
        <w:t xml:space="preserve"> </w:t>
      </w:r>
      <w:r>
        <w:rPr>
          <w:rFonts w:ascii="Arial" w:cs="Arial" w:eastAsia="Arial" w:hAnsi="Arial"/>
          <w:sz w:val="20"/>
          <w:szCs w:val="20"/>
          <w:color w:val="auto"/>
        </w:rPr>
        <w:t>4.1 (</w:t>
      </w:r>
      <w:r>
        <w:rPr>
          <w:rFonts w:ascii="Arial" w:cs="Arial" w:eastAsia="Arial" w:hAnsi="Arial"/>
          <w:sz w:val="20"/>
          <w:szCs w:val="20"/>
          <w:i w:val="1"/>
          <w:iCs w:val="1"/>
          <w:color w:val="auto"/>
        </w:rPr>
        <w:t>Terms of grant</w:t>
      </w:r>
      <w:r>
        <w:rPr>
          <w:rFonts w:ascii="Arial" w:cs="Arial" w:eastAsia="Arial" w:hAnsi="Arial"/>
          <w:sz w:val="20"/>
          <w:szCs w:val="20"/>
          <w:color w:val="auto"/>
        </w:rPr>
        <w:t>);</w:t>
      </w:r>
    </w:p>
    <w:p>
      <w:pPr>
        <w:spacing w:after="0" w:line="125" w:lineRule="exact"/>
        <w:rPr>
          <w:sz w:val="20"/>
          <w:szCs w:val="20"/>
          <w:color w:val="auto"/>
        </w:rPr>
      </w:pPr>
    </w:p>
    <w:p>
      <w:pPr>
        <w:ind w:left="740" w:right="1340"/>
        <w:spacing w:after="0" w:line="422" w:lineRule="auto"/>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w:t>
      </w:r>
      <w:r>
        <w:rPr>
          <w:rFonts w:ascii="Arial" w:cs="Arial" w:eastAsia="Arial" w:hAnsi="Arial"/>
          <w:sz w:val="20"/>
          <w:szCs w:val="20"/>
          <w:b w:val="1"/>
          <w:bCs w:val="1"/>
          <w:color w:val="auto"/>
        </w:rPr>
        <w:t xml:space="preserve"> NUCANA PLC 2020 LONG-TERM INCENTIVE PLAN </w:t>
      </w:r>
      <w:r>
        <w:rPr>
          <w:rFonts w:ascii="Arial" w:cs="Arial" w:eastAsia="Arial" w:hAnsi="Arial"/>
          <w:sz w:val="20"/>
          <w:szCs w:val="20"/>
          <w:color w:val="auto"/>
        </w:rPr>
        <w:t>as amended from time to time;</w:t>
      </w:r>
      <w:r>
        <w:rPr>
          <w:rFonts w:ascii="Arial" w:cs="Arial" w:eastAsia="Arial" w:hAnsi="Arial"/>
          <w:sz w:val="20"/>
          <w:szCs w:val="20"/>
          <w:b w:val="1"/>
          <w:bCs w:val="1"/>
          <w:color w:val="auto"/>
        </w:rPr>
        <w:t xml:space="preserve"> "Regular Option" </w:t>
      </w:r>
      <w:r>
        <w:rPr>
          <w:rFonts w:ascii="Arial" w:cs="Arial" w:eastAsia="Arial" w:hAnsi="Arial"/>
          <w:sz w:val="20"/>
          <w:szCs w:val="20"/>
          <w:color w:val="auto"/>
        </w:rPr>
        <w:t>means an Option other than a Short-Term Option or an RSU-style Option;</w:t>
      </w:r>
    </w:p>
    <w:p>
      <w:pPr>
        <w:spacing w:after="0" w:line="1" w:lineRule="exact"/>
        <w:rPr>
          <w:sz w:val="20"/>
          <w:szCs w:val="20"/>
          <w:color w:val="auto"/>
        </w:rPr>
      </w:pPr>
    </w:p>
    <w:p>
      <w:pPr>
        <w:jc w:val="both"/>
        <w:ind w:left="740" w:right="100"/>
        <w:spacing w:after="0" w:line="242" w:lineRule="auto"/>
        <w:rPr>
          <w:sz w:val="20"/>
          <w:szCs w:val="20"/>
          <w:color w:val="auto"/>
        </w:rPr>
      </w:pPr>
      <w:r>
        <w:rPr>
          <w:rFonts w:ascii="Arial" w:cs="Arial" w:eastAsia="Arial" w:hAnsi="Arial"/>
          <w:sz w:val="20"/>
          <w:szCs w:val="20"/>
          <w:b w:val="1"/>
          <w:bCs w:val="1"/>
          <w:color w:val="auto"/>
        </w:rPr>
        <w:t xml:space="preserve">"RSU-style Option" </w:t>
      </w:r>
      <w:r>
        <w:rPr>
          <w:rFonts w:ascii="Arial" w:cs="Arial" w:eastAsia="Arial" w:hAnsi="Arial"/>
          <w:sz w:val="20"/>
          <w:szCs w:val="20"/>
          <w:color w:val="auto"/>
        </w:rPr>
        <w:t>is an Option with an Option Price equal to the nominal value of an Ordinary Share whether it is</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to acquire Ordinary Shares or an option to acquire ADSs, which is automatically exercised in accordance with the provisions of Rule 8.4 (</w:t>
      </w:r>
      <w:r>
        <w:rPr>
          <w:rFonts w:ascii="Arial" w:cs="Arial" w:eastAsia="Arial" w:hAnsi="Arial"/>
          <w:sz w:val="20"/>
          <w:szCs w:val="20"/>
          <w:i w:val="1"/>
          <w:iCs w:val="1"/>
          <w:color w:val="auto"/>
        </w:rPr>
        <w:t>Method of exercise: RSU-style Option</w:t>
      </w:r>
      <w:r>
        <w:rPr>
          <w:rFonts w:ascii="Arial" w:cs="Arial" w:eastAsia="Arial" w:hAnsi="Arial"/>
          <w:sz w:val="20"/>
          <w:szCs w:val="20"/>
          <w:color w:val="auto"/>
        </w:rPr>
        <w:t>) as soon as it becomes exercisable;</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"Rule" </w:t>
      </w:r>
      <w:r>
        <w:rPr>
          <w:rFonts w:ascii="Arial" w:cs="Arial" w:eastAsia="Arial" w:hAnsi="Arial"/>
          <w:sz w:val="20"/>
          <w:szCs w:val="20"/>
          <w:color w:val="auto"/>
        </w:rPr>
        <w:t>means a rule of the Plan;</w:t>
      </w:r>
    </w:p>
    <w:p>
      <w:pPr>
        <w:spacing w:after="0" w:line="175" w:lineRule="exact"/>
        <w:rPr>
          <w:sz w:val="20"/>
          <w:szCs w:val="20"/>
          <w:color w:val="auto"/>
        </w:rPr>
      </w:pPr>
    </w:p>
    <w:p>
      <w:pPr>
        <w:jc w:val="both"/>
        <w:ind w:left="740" w:right="100"/>
        <w:spacing w:after="0" w:line="242" w:lineRule="auto"/>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IRS Code and the Treasury Regulations and other guidance published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United States Treasury Department and the United States Internal Revenue Service with respect thereto, and any United States state law of similar effect.</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"Shares" </w:t>
      </w:r>
      <w:r>
        <w:rPr>
          <w:rFonts w:ascii="Arial" w:cs="Arial" w:eastAsia="Arial" w:hAnsi="Arial"/>
          <w:sz w:val="20"/>
          <w:szCs w:val="20"/>
          <w:color w:val="auto"/>
        </w:rPr>
        <w:t>means Ordinary Shares or ADSs, as the context so admits;</w:t>
      </w:r>
    </w:p>
    <w:p>
      <w:pPr>
        <w:spacing w:after="0" w:line="175" w:lineRule="exact"/>
        <w:rPr>
          <w:sz w:val="20"/>
          <w:szCs w:val="20"/>
          <w:color w:val="auto"/>
        </w:rPr>
      </w:pPr>
    </w:p>
    <w:p>
      <w:pPr>
        <w:jc w:val="both"/>
        <w:ind w:left="740" w:right="120"/>
        <w:spacing w:after="0" w:line="259" w:lineRule="auto"/>
        <w:rPr>
          <w:sz w:val="20"/>
          <w:szCs w:val="20"/>
          <w:color w:val="auto"/>
        </w:rPr>
      </w:pPr>
      <w:r>
        <w:rPr>
          <w:rFonts w:ascii="Arial" w:cs="Arial" w:eastAsia="Arial" w:hAnsi="Arial"/>
          <w:sz w:val="20"/>
          <w:szCs w:val="20"/>
          <w:b w:val="1"/>
          <w:bCs w:val="1"/>
          <w:color w:val="auto"/>
        </w:rPr>
        <w:t xml:space="preserve">"Short-Term Deferral Period" </w:t>
      </w:r>
      <w:r>
        <w:rPr>
          <w:rFonts w:ascii="Arial" w:cs="Arial" w:eastAsia="Arial" w:hAnsi="Arial"/>
          <w:sz w:val="20"/>
          <w:szCs w:val="20"/>
          <w:color w:val="auto"/>
        </w:rPr>
        <w:t>means the short-term deferral period (within the meaning of IRS 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and Treas. Regs. §1.409A-1(b)(4));</w:t>
      </w:r>
    </w:p>
    <w:p>
      <w:pPr>
        <w:spacing w:after="0" w:line="125" w:lineRule="exact"/>
        <w:rPr>
          <w:sz w:val="20"/>
          <w:szCs w:val="20"/>
          <w:color w:val="auto"/>
        </w:rPr>
      </w:pPr>
    </w:p>
    <w:p>
      <w:pPr>
        <w:jc w:val="both"/>
        <w:ind w:left="740" w:right="120"/>
        <w:spacing w:after="0" w:line="259" w:lineRule="auto"/>
        <w:rPr>
          <w:sz w:val="20"/>
          <w:szCs w:val="20"/>
          <w:color w:val="auto"/>
        </w:rPr>
      </w:pPr>
      <w:r>
        <w:rPr>
          <w:rFonts w:ascii="Arial" w:cs="Arial" w:eastAsia="Arial" w:hAnsi="Arial"/>
          <w:sz w:val="20"/>
          <w:szCs w:val="20"/>
          <w:b w:val="1"/>
          <w:bCs w:val="1"/>
          <w:color w:val="auto"/>
        </w:rPr>
        <w:t xml:space="preserve">"Short-Term Option" </w:t>
      </w:r>
      <w:r>
        <w:rPr>
          <w:rFonts w:ascii="Arial" w:cs="Arial" w:eastAsia="Arial" w:hAnsi="Arial"/>
          <w:sz w:val="20"/>
          <w:szCs w:val="20"/>
          <w:color w:val="auto"/>
        </w:rPr>
        <w:t>is an Option which may not be exercised later than the end of the Short-Term Deferral Period in</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 to that Option;</w:t>
      </w:r>
    </w:p>
    <w:p>
      <w:pPr>
        <w:spacing w:after="0" w:line="138" w:lineRule="exact"/>
        <w:rPr>
          <w:sz w:val="20"/>
          <w:szCs w:val="20"/>
          <w:color w:val="auto"/>
        </w:rPr>
      </w:pPr>
    </w:p>
    <w:p>
      <w:pPr>
        <w:jc w:val="both"/>
        <w:ind w:left="740" w:right="100"/>
        <w:spacing w:after="0" w:line="259" w:lineRule="auto"/>
        <w:rPr>
          <w:sz w:val="20"/>
          <w:szCs w:val="20"/>
          <w:color w:val="auto"/>
        </w:rPr>
      </w:pPr>
      <w:r>
        <w:rPr>
          <w:rFonts w:ascii="Arial" w:cs="Arial" w:eastAsia="Arial" w:hAnsi="Arial"/>
          <w:sz w:val="20"/>
          <w:szCs w:val="20"/>
          <w:b w:val="1"/>
          <w:bCs w:val="1"/>
          <w:color w:val="auto"/>
        </w:rPr>
        <w:t xml:space="preserve">"Subsidiary" </w:t>
      </w:r>
      <w:r>
        <w:rPr>
          <w:rFonts w:ascii="Arial" w:cs="Arial" w:eastAsia="Arial" w:hAnsi="Arial"/>
          <w:sz w:val="20"/>
          <w:szCs w:val="20"/>
          <w:color w:val="auto"/>
        </w:rPr>
        <w:t>means a body corporate which is a subsidiary (within the meaning of section 1159 of the Companies</w:t>
      </w:r>
      <w:r>
        <w:rPr>
          <w:rFonts w:ascii="Arial" w:cs="Arial" w:eastAsia="Arial" w:hAnsi="Arial"/>
          <w:sz w:val="20"/>
          <w:szCs w:val="20"/>
          <w:b w:val="1"/>
          <w:bCs w:val="1"/>
          <w:color w:val="auto"/>
        </w:rPr>
        <w:t xml:space="preserve"> </w:t>
      </w:r>
      <w:r>
        <w:rPr>
          <w:rFonts w:ascii="Arial" w:cs="Arial" w:eastAsia="Arial" w:hAnsi="Arial"/>
          <w:sz w:val="20"/>
          <w:szCs w:val="20"/>
          <w:color w:val="auto"/>
        </w:rPr>
        <w:t>Act 2006);</w:t>
      </w:r>
    </w:p>
    <w:p>
      <w:pPr>
        <w:spacing w:after="0" w:line="152" w:lineRule="exact"/>
        <w:rPr>
          <w:sz w:val="20"/>
          <w:szCs w:val="20"/>
          <w:color w:val="auto"/>
        </w:rPr>
      </w:pPr>
    </w:p>
    <w:p>
      <w:pPr>
        <w:jc w:val="both"/>
        <w:ind w:left="740" w:right="100"/>
        <w:spacing w:after="0" w:line="259" w:lineRule="auto"/>
        <w:rPr>
          <w:sz w:val="20"/>
          <w:szCs w:val="20"/>
          <w:color w:val="auto"/>
        </w:rPr>
      </w:pPr>
      <w:r>
        <w:rPr>
          <w:rFonts w:ascii="Arial" w:cs="Arial" w:eastAsia="Arial" w:hAnsi="Arial"/>
          <w:sz w:val="20"/>
          <w:szCs w:val="20"/>
          <w:b w:val="1"/>
          <w:bCs w:val="1"/>
          <w:color w:val="auto"/>
        </w:rPr>
        <w:t>"Survivor</w:t>
      </w:r>
      <w:r>
        <w:rPr>
          <w:rFonts w:ascii="Arial" w:cs="Arial" w:eastAsia="Arial" w:hAnsi="Arial"/>
          <w:sz w:val="20"/>
          <w:szCs w:val="20"/>
          <w:color w:val="auto"/>
        </w:rPr>
        <w:t>" means a deceased Participant’s legal representatives and/or any person or persons who acquired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rights to an Award by will or by the laws of descent and distribution, as applicable.</w:t>
      </w:r>
    </w:p>
    <w:p>
      <w:pPr>
        <w:spacing w:after="0" w:line="125" w:lineRule="exact"/>
        <w:rPr>
          <w:sz w:val="20"/>
          <w:szCs w:val="20"/>
          <w:color w:val="auto"/>
        </w:rPr>
      </w:pPr>
    </w:p>
    <w:p>
      <w:pPr>
        <w:ind w:left="740"/>
        <w:spacing w:after="0" w:line="235" w:lineRule="auto"/>
        <w:rPr>
          <w:sz w:val="20"/>
          <w:szCs w:val="20"/>
          <w:color w:val="auto"/>
        </w:rPr>
      </w:pPr>
      <w:r>
        <w:rPr>
          <w:rFonts w:ascii="Arial" w:cs="Arial" w:eastAsia="Arial" w:hAnsi="Arial"/>
          <w:sz w:val="20"/>
          <w:szCs w:val="20"/>
          <w:b w:val="1"/>
          <w:bCs w:val="1"/>
          <w:color w:val="auto"/>
        </w:rPr>
        <w:t xml:space="preserve">"Tax Liability" </w:t>
      </w:r>
      <w:r>
        <w:rPr>
          <w:rFonts w:ascii="Arial" w:cs="Arial" w:eastAsia="Arial" w:hAnsi="Arial"/>
          <w:sz w:val="20"/>
          <w:szCs w:val="20"/>
          <w:color w:val="auto"/>
        </w:rPr>
        <w:t>means any amount of tax or social security contributions for which a Participant would or may be liable</w:t>
      </w:r>
      <w:r>
        <w:rPr>
          <w:rFonts w:ascii="Arial" w:cs="Arial" w:eastAsia="Arial" w:hAnsi="Arial"/>
          <w:sz w:val="20"/>
          <w:szCs w:val="20"/>
          <w:b w:val="1"/>
          <w:bCs w:val="1"/>
          <w:color w:val="auto"/>
        </w:rPr>
        <w:t xml:space="preserve"> </w:t>
      </w:r>
      <w:r>
        <w:rPr>
          <w:rFonts w:ascii="Arial" w:cs="Arial" w:eastAsia="Arial" w:hAnsi="Arial"/>
          <w:sz w:val="20"/>
          <w:szCs w:val="20"/>
          <w:color w:val="auto"/>
        </w:rPr>
        <w:t>and for which any Group Member or former Group Member would or may be obliged to (or would or may suffer a disadvantage if it were not to) account for to any relevant authority, together with any Employer Social Security Liability in relation to a specific Award to the extent that the Committee determined at the Grant Date that such liability was to be recovered from the Participant;</w:t>
      </w:r>
    </w:p>
    <w:p>
      <w:pPr>
        <w:spacing w:after="0" w:line="170" w:lineRule="exact"/>
        <w:rPr>
          <w:sz w:val="20"/>
          <w:szCs w:val="20"/>
          <w:color w:val="auto"/>
        </w:rPr>
      </w:pPr>
    </w:p>
    <w:p>
      <w:pPr>
        <w:ind w:left="740" w:right="26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 Percent Shareholder</w:t>
      </w:r>
      <w:r>
        <w:rPr>
          <w:rFonts w:ascii="Arial" w:cs="Arial" w:eastAsia="Arial" w:hAnsi="Arial"/>
          <w:sz w:val="20"/>
          <w:szCs w:val="20"/>
          <w:color w:val="auto"/>
        </w:rPr>
        <w:t>” means an individual who on any given date owns, either directly or indirectly (taking into account the attribution rules contained in IRS Code Section 424(d)), stock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4" w:right="359" w:bottom="1440" w:gutter="0" w:footer="0" w:header="0"/>
        </w:sectPr>
      </w:pPr>
    </w:p>
    <w:bookmarkStart w:id="283" w:name="page284"/>
    <w:bookmarkEnd w:id="283"/>
    <w:p>
      <w:pPr>
        <w:ind w:left="760" w:right="280"/>
        <w:spacing w:after="0" w:line="257" w:lineRule="auto"/>
        <w:rPr>
          <w:sz w:val="20"/>
          <w:szCs w:val="20"/>
          <w:color w:val="auto"/>
        </w:rPr>
      </w:pPr>
      <w:r>
        <w:rPr>
          <w:rFonts w:ascii="Arial" w:cs="Arial" w:eastAsia="Arial" w:hAnsi="Arial"/>
          <w:sz w:val="20"/>
          <w:szCs w:val="20"/>
          <w:color w:val="auto"/>
        </w:rPr>
        <w:t>possessing more than 10% of the total combined voting power of all classes of stock of the Company or a “parent” or “subsidiary” company (within the meaning of IRS Code Section 424).</w:t>
      </w:r>
    </w:p>
    <w:p>
      <w:pPr>
        <w:spacing w:after="0" w:line="153" w:lineRule="exact"/>
        <w:rPr>
          <w:sz w:val="20"/>
          <w:szCs w:val="20"/>
          <w:color w:val="auto"/>
        </w:rPr>
      </w:pPr>
    </w:p>
    <w:p>
      <w:pPr>
        <w:ind w:left="760" w:right="520"/>
        <w:spacing w:after="0" w:line="259" w:lineRule="auto"/>
        <w:rPr>
          <w:sz w:val="20"/>
          <w:szCs w:val="20"/>
          <w:color w:val="auto"/>
        </w:rPr>
      </w:pPr>
      <w:r>
        <w:rPr>
          <w:rFonts w:ascii="Arial" w:cs="Arial" w:eastAsia="Arial" w:hAnsi="Arial"/>
          <w:sz w:val="20"/>
          <w:szCs w:val="20"/>
          <w:b w:val="1"/>
          <w:bCs w:val="1"/>
          <w:color w:val="auto"/>
        </w:rPr>
        <w:t xml:space="preserve">"Treasury Regulations" </w:t>
      </w:r>
      <w:r>
        <w:rPr>
          <w:rFonts w:ascii="Arial" w:cs="Arial" w:eastAsia="Arial" w:hAnsi="Arial"/>
          <w:sz w:val="20"/>
          <w:szCs w:val="20"/>
          <w:color w:val="auto"/>
        </w:rPr>
        <w:t>or</w:t>
      </w:r>
      <w:r>
        <w:rPr>
          <w:rFonts w:ascii="Arial" w:cs="Arial" w:eastAsia="Arial" w:hAnsi="Arial"/>
          <w:sz w:val="20"/>
          <w:szCs w:val="20"/>
          <w:b w:val="1"/>
          <w:bCs w:val="1"/>
          <w:color w:val="auto"/>
        </w:rPr>
        <w:t xml:space="preserve"> "Treas. Regs</w:t>
      </w:r>
      <w:r>
        <w:rPr>
          <w:rFonts w:ascii="Arial" w:cs="Arial" w:eastAsia="Arial" w:hAnsi="Arial"/>
          <w:sz w:val="20"/>
          <w:szCs w:val="20"/>
          <w:color w:val="auto"/>
        </w:rPr>
        <w:t>.</w:t>
      </w:r>
      <w:r>
        <w:rPr>
          <w:rFonts w:ascii="Arial" w:cs="Arial" w:eastAsia="Arial" w:hAnsi="Arial"/>
          <w:sz w:val="20"/>
          <w:szCs w:val="20"/>
          <w:b w:val="1"/>
          <w:bCs w:val="1"/>
          <w:color w:val="auto"/>
        </w:rPr>
        <w:t xml:space="preserve"> " </w:t>
      </w:r>
      <w:r>
        <w:rPr>
          <w:rFonts w:ascii="Arial" w:cs="Arial" w:eastAsia="Arial" w:hAnsi="Arial"/>
          <w:sz w:val="20"/>
          <w:szCs w:val="20"/>
          <w:color w:val="auto"/>
        </w:rPr>
        <w:t>means the United States Treasury Regulations, as the same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from time to time and any successor thereto;</w:t>
      </w:r>
    </w:p>
    <w:p>
      <w:pPr>
        <w:spacing w:after="0" w:line="125" w:lineRule="exact"/>
        <w:rPr>
          <w:sz w:val="20"/>
          <w:szCs w:val="20"/>
          <w:color w:val="auto"/>
        </w:rPr>
      </w:pPr>
    </w:p>
    <w:p>
      <w:pPr>
        <w:ind w:left="760" w:right="1800"/>
        <w:spacing w:after="0" w:line="458" w:lineRule="auto"/>
        <w:rPr>
          <w:sz w:val="20"/>
          <w:szCs w:val="20"/>
          <w:color w:val="auto"/>
        </w:rPr>
      </w:pPr>
      <w:r>
        <w:rPr>
          <w:rFonts w:ascii="Arial" w:cs="Arial" w:eastAsia="Arial" w:hAnsi="Arial"/>
          <w:sz w:val="20"/>
          <w:szCs w:val="20"/>
          <w:b w:val="1"/>
          <w:bCs w:val="1"/>
          <w:color w:val="auto"/>
        </w:rPr>
        <w:t xml:space="preserve">"US Taxpayer" </w:t>
      </w:r>
      <w:r>
        <w:rPr>
          <w:rFonts w:ascii="Arial" w:cs="Arial" w:eastAsia="Arial" w:hAnsi="Arial"/>
          <w:sz w:val="20"/>
          <w:szCs w:val="20"/>
          <w:color w:val="auto"/>
        </w:rPr>
        <w:t>means a person who is subject to the federal income tax laws of the United States;</w:t>
      </w:r>
      <w:r>
        <w:rPr>
          <w:rFonts w:ascii="Arial" w:cs="Arial" w:eastAsia="Arial" w:hAnsi="Arial"/>
          <w:sz w:val="20"/>
          <w:szCs w:val="20"/>
          <w:b w:val="1"/>
          <w:bCs w:val="1"/>
          <w:color w:val="auto"/>
        </w:rPr>
        <w:t xml:space="preserve"> "Vest" </w:t>
      </w:r>
      <w:r>
        <w:rPr>
          <w:rFonts w:ascii="Arial" w:cs="Arial" w:eastAsia="Arial" w:hAnsi="Arial"/>
          <w:sz w:val="20"/>
          <w:szCs w:val="20"/>
          <w:color w:val="auto"/>
        </w:rPr>
        <w:t>means:</w:t>
      </w:r>
    </w:p>
    <w:p>
      <w:pPr>
        <w:spacing w:after="0" w:line="2" w:lineRule="exact"/>
        <w:rPr>
          <w:sz w:val="20"/>
          <w:szCs w:val="20"/>
          <w:color w:val="auto"/>
        </w:rPr>
      </w:pPr>
    </w:p>
    <w:p>
      <w:pPr>
        <w:ind w:left="1400" w:right="360" w:hanging="628"/>
        <w:spacing w:after="0" w:line="243" w:lineRule="auto"/>
        <w:tabs>
          <w:tab w:leader="none" w:pos="1400" w:val="left"/>
        </w:tabs>
        <w:numPr>
          <w:ilvl w:val="0"/>
          <w:numId w:val="253"/>
        </w:numPr>
        <w:rPr>
          <w:rFonts w:ascii="Calibri" w:cs="Calibri" w:eastAsia="Calibri" w:hAnsi="Calibri"/>
          <w:sz w:val="20"/>
          <w:szCs w:val="20"/>
          <w:color w:val="auto"/>
        </w:rPr>
      </w:pPr>
      <w:r>
        <w:rPr>
          <w:rFonts w:ascii="Arial" w:cs="Arial" w:eastAsia="Arial" w:hAnsi="Arial"/>
          <w:sz w:val="20"/>
          <w:szCs w:val="20"/>
          <w:color w:val="auto"/>
        </w:rPr>
        <w:t>in relation to a Conditional Award, a Participant becoming entitled to have the legal and beneficial title to the Shares transferred to him (or his nominee) subject to the Rules;</w:t>
      </w:r>
    </w:p>
    <w:p>
      <w:pPr>
        <w:spacing w:after="0" w:line="167" w:lineRule="exact"/>
        <w:rPr>
          <w:rFonts w:ascii="Calibri" w:cs="Calibri" w:eastAsia="Calibri" w:hAnsi="Calibri"/>
          <w:sz w:val="20"/>
          <w:szCs w:val="20"/>
          <w:color w:val="auto"/>
        </w:rPr>
      </w:pPr>
    </w:p>
    <w:p>
      <w:pPr>
        <w:ind w:left="1400" w:right="360" w:hanging="628"/>
        <w:spacing w:after="0" w:line="243" w:lineRule="auto"/>
        <w:tabs>
          <w:tab w:leader="none" w:pos="1400" w:val="left"/>
        </w:tabs>
        <w:numPr>
          <w:ilvl w:val="0"/>
          <w:numId w:val="253"/>
        </w:numPr>
        <w:rPr>
          <w:rFonts w:ascii="Calibri" w:cs="Calibri" w:eastAsia="Calibri" w:hAnsi="Calibri"/>
          <w:sz w:val="20"/>
          <w:szCs w:val="20"/>
          <w:color w:val="auto"/>
        </w:rPr>
      </w:pPr>
      <w:r>
        <w:rPr>
          <w:rFonts w:ascii="Arial" w:cs="Arial" w:eastAsia="Arial" w:hAnsi="Arial"/>
          <w:sz w:val="20"/>
          <w:szCs w:val="20"/>
          <w:color w:val="auto"/>
        </w:rPr>
        <w:t>in relation to an Option, it becoming exercisable (subject to the conditions contained in Rule 8.1 (</w:t>
      </w:r>
      <w:r>
        <w:rPr>
          <w:rFonts w:ascii="Arial" w:cs="Arial" w:eastAsia="Arial" w:hAnsi="Arial"/>
          <w:sz w:val="20"/>
          <w:szCs w:val="20"/>
          <w:i w:val="1"/>
          <w:iCs w:val="1"/>
          <w:color w:val="auto"/>
        </w:rPr>
        <w:t>Restrictions</w:t>
      </w:r>
      <w:r>
        <w:rPr>
          <w:rFonts w:ascii="Arial" w:cs="Arial" w:eastAsia="Arial" w:hAnsi="Arial"/>
          <w:sz w:val="20"/>
          <w:szCs w:val="20"/>
          <w:color w:val="auto"/>
        </w:rPr>
        <w:t xml:space="preserve"> </w:t>
      </w:r>
      <w:r>
        <w:rPr>
          <w:rFonts w:ascii="Arial" w:cs="Arial" w:eastAsia="Arial" w:hAnsi="Arial"/>
          <w:sz w:val="20"/>
          <w:szCs w:val="20"/>
          <w:i w:val="1"/>
          <w:iCs w:val="1"/>
          <w:color w:val="auto"/>
        </w:rPr>
        <w:t>on the exercise of an Option: regulatory and tax issues</w:t>
      </w:r>
      <w:r>
        <w:rPr>
          <w:rFonts w:ascii="Arial" w:cs="Arial" w:eastAsia="Arial" w:hAnsi="Arial"/>
          <w:sz w:val="20"/>
          <w:szCs w:val="20"/>
          <w:color w:val="auto"/>
        </w:rPr>
        <w:t>));</w:t>
      </w:r>
    </w:p>
    <w:p>
      <w:pPr>
        <w:spacing w:after="0" w:line="139" w:lineRule="exact"/>
        <w:rPr>
          <w:sz w:val="20"/>
          <w:szCs w:val="20"/>
          <w:color w:val="auto"/>
        </w:rPr>
      </w:pPr>
    </w:p>
    <w:p>
      <w:pPr>
        <w:ind w:left="760" w:right="3860"/>
        <w:spacing w:after="0" w:line="460"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b w:val="1"/>
          <w:bCs w:val="1"/>
          <w:color w:val="auto"/>
        </w:rPr>
        <w:t>Vesting, Vested, Vests and Vest</w:t>
      </w:r>
      <w:r>
        <w:rPr>
          <w:rFonts w:ascii="Arial" w:cs="Arial" w:eastAsia="Arial" w:hAnsi="Arial"/>
          <w:sz w:val="19"/>
          <w:szCs w:val="19"/>
          <w:color w:val="auto"/>
        </w:rPr>
        <w:t xml:space="preserve"> shall be construed accordingly; </w:t>
      </w:r>
      <w:r>
        <w:rPr>
          <w:rFonts w:ascii="Arial" w:cs="Arial" w:eastAsia="Arial" w:hAnsi="Arial"/>
          <w:sz w:val="19"/>
          <w:szCs w:val="19"/>
          <w:b w:val="1"/>
          <w:bCs w:val="1"/>
          <w:color w:val="auto"/>
        </w:rPr>
        <w:t xml:space="preserve">"Vested Shares" </w:t>
      </w:r>
      <w:r>
        <w:rPr>
          <w:rFonts w:ascii="Arial" w:cs="Arial" w:eastAsia="Arial" w:hAnsi="Arial"/>
          <w:sz w:val="19"/>
          <w:szCs w:val="19"/>
          <w:color w:val="auto"/>
        </w:rPr>
        <w:t>means those Shares in respect of which an Award Vests.</w:t>
      </w:r>
    </w:p>
    <w:p>
      <w:pPr>
        <w:spacing w:after="0" w:line="1" w:lineRule="exact"/>
        <w:rPr>
          <w:sz w:val="20"/>
          <w:szCs w:val="20"/>
          <w:color w:val="auto"/>
        </w:rPr>
      </w:pPr>
    </w:p>
    <w:p>
      <w:pPr>
        <w:ind w:left="440" w:right="920" w:hanging="748"/>
        <w:spacing w:after="0" w:line="257" w:lineRule="auto"/>
        <w:tabs>
          <w:tab w:leader="none" w:pos="420" w:val="left"/>
        </w:tabs>
        <w:rPr>
          <w:sz w:val="20"/>
          <w:szCs w:val="20"/>
          <w:color w:val="auto"/>
        </w:rPr>
      </w:pPr>
      <w:r>
        <w:rPr>
          <w:rFonts w:ascii="Arial" w:cs="Arial" w:eastAsia="Arial" w:hAnsi="Arial"/>
          <w:sz w:val="20"/>
          <w:szCs w:val="20"/>
          <w:color w:val="auto"/>
        </w:rPr>
        <w:t>2.2</w:t>
        <w:tab/>
        <w:t>Any reference in the Plan to any enactment includes a reference to that enactment as from time to time modified, extended or re-enacted.</w:t>
      </w:r>
    </w:p>
    <w:p>
      <w:pPr>
        <w:spacing w:after="0" w:line="14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Expressions in italics and headings are for guidance only and do not form part of the Plan.</w:t>
      </w:r>
    </w:p>
    <w:p>
      <w:pPr>
        <w:spacing w:after="0" w:line="200" w:lineRule="exact"/>
        <w:rPr>
          <w:sz w:val="20"/>
          <w:szCs w:val="20"/>
          <w:color w:val="auto"/>
        </w:rPr>
      </w:pPr>
    </w:p>
    <w:p>
      <w:pPr>
        <w:ind w:left="760" w:hanging="752"/>
        <w:spacing w:after="0"/>
        <w:tabs>
          <w:tab w:leader="none" w:pos="760" w:val="left"/>
        </w:tabs>
        <w:numPr>
          <w:ilvl w:val="0"/>
          <w:numId w:val="254"/>
        </w:numPr>
        <w:rPr>
          <w:rFonts w:ascii="Calibri" w:cs="Calibri" w:eastAsia="Calibri" w:hAnsi="Calibri"/>
          <w:sz w:val="20"/>
          <w:szCs w:val="20"/>
          <w:b w:val="1"/>
          <w:bCs w:val="1"/>
          <w:color w:val="auto"/>
        </w:rPr>
      </w:pPr>
      <w:r>
        <w:rPr>
          <w:rFonts w:ascii="Arial" w:cs="Arial" w:eastAsia="Arial" w:hAnsi="Arial"/>
          <w:sz w:val="20"/>
          <w:szCs w:val="20"/>
          <w:b w:val="1"/>
          <w:bCs w:val="1"/>
          <w:color w:val="auto"/>
        </w:rPr>
        <w:t>PROVISIONS RELATING TO THE GRANT OF AN AWARD</w:t>
      </w:r>
    </w:p>
    <w:p>
      <w:pPr>
        <w:spacing w:after="0" w:line="221"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0"/>
          <w:szCs w:val="20"/>
          <w:color w:val="auto"/>
        </w:rPr>
        <w:t>3.1</w:t>
      </w:r>
      <w:r>
        <w:rPr>
          <w:sz w:val="20"/>
          <w:szCs w:val="20"/>
          <w:color w:val="auto"/>
        </w:rPr>
        <w:tab/>
      </w:r>
      <w:r>
        <w:rPr>
          <w:rFonts w:ascii="Arial" w:cs="Arial" w:eastAsia="Arial" w:hAnsi="Arial"/>
          <w:sz w:val="19"/>
          <w:szCs w:val="19"/>
          <w:color w:val="auto"/>
        </w:rPr>
        <w:t>In its absolute discretion, the Committee has the power to grant an Award under this Plan to Eligible Persons:</w:t>
      </w:r>
    </w:p>
    <w:p>
      <w:pPr>
        <w:spacing w:after="0" w:line="238" w:lineRule="exact"/>
        <w:rPr>
          <w:sz w:val="20"/>
          <w:szCs w:val="20"/>
          <w:color w:val="auto"/>
        </w:rPr>
      </w:pPr>
    </w:p>
    <w:p>
      <w:pPr>
        <w:ind w:left="1020" w:hanging="263"/>
        <w:spacing w:after="0"/>
        <w:tabs>
          <w:tab w:leader="none" w:pos="1020" w:val="left"/>
        </w:tabs>
        <w:numPr>
          <w:ilvl w:val="0"/>
          <w:numId w:val="255"/>
        </w:numPr>
        <w:rPr>
          <w:rFonts w:ascii="Calibri" w:cs="Calibri" w:eastAsia="Calibri" w:hAnsi="Calibri"/>
          <w:sz w:val="18"/>
          <w:szCs w:val="18"/>
          <w:color w:val="auto"/>
        </w:rPr>
      </w:pPr>
      <w:r>
        <w:rPr>
          <w:rFonts w:ascii="Arial" w:cs="Arial" w:eastAsia="Arial" w:hAnsi="Arial"/>
          <w:sz w:val="20"/>
          <w:szCs w:val="20"/>
          <w:color w:val="auto"/>
        </w:rPr>
        <w:t>subject to the limitations and conditions contained in this Plan;</w:t>
      </w:r>
    </w:p>
    <w:p>
      <w:pPr>
        <w:spacing w:after="0" w:line="223" w:lineRule="exact"/>
        <w:rPr>
          <w:rFonts w:ascii="Calibri" w:cs="Calibri" w:eastAsia="Calibri" w:hAnsi="Calibri"/>
          <w:sz w:val="18"/>
          <w:szCs w:val="18"/>
          <w:color w:val="auto"/>
        </w:rPr>
      </w:pPr>
    </w:p>
    <w:p>
      <w:pPr>
        <w:ind w:left="1020" w:hanging="263"/>
        <w:spacing w:after="0"/>
        <w:tabs>
          <w:tab w:leader="none" w:pos="1020" w:val="left"/>
        </w:tabs>
        <w:numPr>
          <w:ilvl w:val="0"/>
          <w:numId w:val="255"/>
        </w:numPr>
        <w:rPr>
          <w:rFonts w:ascii="Calibri" w:cs="Calibri" w:eastAsia="Calibri" w:hAnsi="Calibri"/>
          <w:sz w:val="18"/>
          <w:szCs w:val="18"/>
          <w:color w:val="auto"/>
        </w:rPr>
      </w:pPr>
      <w:r>
        <w:rPr>
          <w:rFonts w:ascii="Arial" w:cs="Arial" w:eastAsia="Arial" w:hAnsi="Arial"/>
          <w:sz w:val="20"/>
          <w:szCs w:val="20"/>
          <w:color w:val="auto"/>
        </w:rPr>
        <w:t>provided that the Award is not prohibited by law; and</w:t>
      </w:r>
    </w:p>
    <w:p>
      <w:pPr>
        <w:spacing w:after="0" w:line="223" w:lineRule="exact"/>
        <w:rPr>
          <w:rFonts w:ascii="Calibri" w:cs="Calibri" w:eastAsia="Calibri" w:hAnsi="Calibri"/>
          <w:sz w:val="18"/>
          <w:szCs w:val="18"/>
          <w:color w:val="auto"/>
        </w:rPr>
      </w:pPr>
    </w:p>
    <w:p>
      <w:pPr>
        <w:ind w:left="1020" w:hanging="263"/>
        <w:spacing w:after="0"/>
        <w:tabs>
          <w:tab w:leader="none" w:pos="1020" w:val="left"/>
        </w:tabs>
        <w:numPr>
          <w:ilvl w:val="0"/>
          <w:numId w:val="255"/>
        </w:numPr>
        <w:rPr>
          <w:rFonts w:ascii="Calibri" w:cs="Calibri" w:eastAsia="Calibri" w:hAnsi="Calibri"/>
          <w:sz w:val="18"/>
          <w:szCs w:val="18"/>
          <w:color w:val="auto"/>
        </w:rPr>
      </w:pPr>
      <w:r>
        <w:rPr>
          <w:rFonts w:ascii="Arial" w:cs="Arial" w:eastAsia="Arial" w:hAnsi="Arial"/>
          <w:sz w:val="20"/>
          <w:szCs w:val="20"/>
          <w:color w:val="auto"/>
        </w:rPr>
        <w:t>for commercial reasons in order to recruit or retain or reward an Eligible Person.</w:t>
      </w:r>
    </w:p>
    <w:p>
      <w:pPr>
        <w:spacing w:after="0" w:line="223" w:lineRule="exact"/>
        <w:rPr>
          <w:sz w:val="20"/>
          <w:szCs w:val="20"/>
          <w:color w:val="auto"/>
        </w:rPr>
      </w:pPr>
    </w:p>
    <w:p>
      <w:pPr>
        <w:ind w:left="440" w:hanging="748"/>
        <w:spacing w:after="0" w:line="257" w:lineRule="auto"/>
        <w:tabs>
          <w:tab w:leader="none" w:pos="420" w:val="left"/>
        </w:tabs>
        <w:rPr>
          <w:sz w:val="20"/>
          <w:szCs w:val="20"/>
          <w:color w:val="auto"/>
        </w:rPr>
      </w:pPr>
      <w:r>
        <w:rPr>
          <w:rFonts w:ascii="Arial" w:cs="Arial" w:eastAsia="Arial" w:hAnsi="Arial"/>
          <w:sz w:val="20"/>
          <w:szCs w:val="20"/>
          <w:color w:val="auto"/>
        </w:rPr>
        <w:t>3.2</w:t>
        <w:tab/>
        <w:t>The Committee will, from time to time, set the policies for the Company’s operation and administration of the Plan within the terms of the Rules, which may include the determination of:</w:t>
      </w:r>
    </w:p>
    <w:p>
      <w:pPr>
        <w:spacing w:after="0" w:line="155" w:lineRule="exact"/>
        <w:rPr>
          <w:sz w:val="20"/>
          <w:szCs w:val="20"/>
          <w:color w:val="auto"/>
        </w:rPr>
      </w:pPr>
    </w:p>
    <w:p>
      <w:pPr>
        <w:ind w:left="1500" w:hanging="743"/>
        <w:spacing w:after="0"/>
        <w:tabs>
          <w:tab w:leader="none" w:pos="1500" w:val="left"/>
        </w:tabs>
        <w:numPr>
          <w:ilvl w:val="0"/>
          <w:numId w:val="256"/>
        </w:numPr>
        <w:rPr>
          <w:rFonts w:ascii="Calibri" w:cs="Calibri" w:eastAsia="Calibri" w:hAnsi="Calibri"/>
          <w:sz w:val="18"/>
          <w:szCs w:val="18"/>
          <w:color w:val="auto"/>
        </w:rPr>
      </w:pPr>
      <w:r>
        <w:rPr>
          <w:rFonts w:ascii="Arial" w:cs="Arial" w:eastAsia="Arial" w:hAnsi="Arial"/>
          <w:sz w:val="20"/>
          <w:szCs w:val="20"/>
          <w:color w:val="auto"/>
        </w:rPr>
        <w:t>the Eligible Persons to whom Awards shall be granted and the intended Date of Grant;</w:t>
      </w:r>
    </w:p>
    <w:p>
      <w:pPr>
        <w:spacing w:after="0" w:line="223" w:lineRule="exact"/>
        <w:rPr>
          <w:rFonts w:ascii="Calibri" w:cs="Calibri" w:eastAsia="Calibri" w:hAnsi="Calibri"/>
          <w:sz w:val="18"/>
          <w:szCs w:val="18"/>
          <w:color w:val="auto"/>
        </w:rPr>
      </w:pPr>
    </w:p>
    <w:p>
      <w:pPr>
        <w:ind w:left="1500" w:right="300" w:hanging="743"/>
        <w:spacing w:after="0" w:line="251" w:lineRule="auto"/>
        <w:tabs>
          <w:tab w:leader="none" w:pos="1500" w:val="left"/>
        </w:tabs>
        <w:numPr>
          <w:ilvl w:val="0"/>
          <w:numId w:val="256"/>
        </w:numPr>
        <w:rPr>
          <w:rFonts w:ascii="Calibri" w:cs="Calibri" w:eastAsia="Calibri" w:hAnsi="Calibri"/>
          <w:sz w:val="18"/>
          <w:szCs w:val="18"/>
          <w:color w:val="auto"/>
        </w:rPr>
      </w:pPr>
      <w:r>
        <w:rPr>
          <w:rFonts w:ascii="Arial" w:cs="Arial" w:eastAsia="Arial" w:hAnsi="Arial"/>
          <w:sz w:val="20"/>
          <w:szCs w:val="20"/>
          <w:color w:val="auto"/>
        </w:rPr>
        <w:t>the maximum number of Shares subject to the Award or which each such Eligible Person shall be entitled to acquire/receive on the exercise of the Award;</w:t>
      </w:r>
    </w:p>
    <w:p>
      <w:pPr>
        <w:spacing w:after="0" w:line="160" w:lineRule="exact"/>
        <w:rPr>
          <w:rFonts w:ascii="Calibri" w:cs="Calibri" w:eastAsia="Calibri" w:hAnsi="Calibri"/>
          <w:sz w:val="18"/>
          <w:szCs w:val="18"/>
          <w:color w:val="auto"/>
        </w:rPr>
      </w:pPr>
    </w:p>
    <w:p>
      <w:pPr>
        <w:ind w:left="1500" w:right="400" w:hanging="743"/>
        <w:spacing w:after="0" w:line="251" w:lineRule="auto"/>
        <w:tabs>
          <w:tab w:leader="none" w:pos="1500" w:val="left"/>
        </w:tabs>
        <w:numPr>
          <w:ilvl w:val="0"/>
          <w:numId w:val="256"/>
        </w:numPr>
        <w:rPr>
          <w:rFonts w:ascii="Calibri" w:cs="Calibri" w:eastAsia="Calibri" w:hAnsi="Calibri"/>
          <w:sz w:val="18"/>
          <w:szCs w:val="18"/>
          <w:color w:val="auto"/>
        </w:rPr>
      </w:pPr>
      <w:r>
        <w:rPr>
          <w:rFonts w:ascii="Arial" w:cs="Arial" w:eastAsia="Arial" w:hAnsi="Arial"/>
          <w:sz w:val="20"/>
          <w:szCs w:val="20"/>
          <w:color w:val="auto"/>
        </w:rPr>
        <w:t>the Option Price, the periods during which the Award may be exercised, and any Performance Condition to apply to the Award;</w:t>
      </w:r>
    </w:p>
    <w:p>
      <w:pPr>
        <w:spacing w:after="0" w:line="160" w:lineRule="exact"/>
        <w:rPr>
          <w:rFonts w:ascii="Calibri" w:cs="Calibri" w:eastAsia="Calibri" w:hAnsi="Calibri"/>
          <w:sz w:val="18"/>
          <w:szCs w:val="18"/>
          <w:color w:val="auto"/>
        </w:rPr>
      </w:pPr>
    </w:p>
    <w:p>
      <w:pPr>
        <w:ind w:left="1020" w:hanging="263"/>
        <w:spacing w:after="0"/>
        <w:tabs>
          <w:tab w:leader="none" w:pos="1020" w:val="left"/>
        </w:tabs>
        <w:numPr>
          <w:ilvl w:val="0"/>
          <w:numId w:val="256"/>
        </w:numPr>
        <w:rPr>
          <w:rFonts w:ascii="Calibri" w:cs="Calibri" w:eastAsia="Calibri" w:hAnsi="Calibri"/>
          <w:sz w:val="18"/>
          <w:szCs w:val="18"/>
          <w:color w:val="auto"/>
        </w:rPr>
      </w:pPr>
      <w:r>
        <w:rPr>
          <w:rFonts w:ascii="Arial" w:cs="Arial" w:eastAsia="Arial" w:hAnsi="Arial"/>
          <w:sz w:val="20"/>
          <w:szCs w:val="20"/>
          <w:color w:val="auto"/>
        </w:rPr>
        <w:t>the type of Award to be granted as set out in Rule 4.2 below;</w:t>
      </w:r>
    </w:p>
    <w:p>
      <w:pPr>
        <w:spacing w:after="0" w:line="223" w:lineRule="exact"/>
        <w:rPr>
          <w:rFonts w:ascii="Calibri" w:cs="Calibri" w:eastAsia="Calibri" w:hAnsi="Calibri"/>
          <w:sz w:val="18"/>
          <w:szCs w:val="18"/>
          <w:color w:val="auto"/>
        </w:rPr>
      </w:pPr>
    </w:p>
    <w:p>
      <w:pPr>
        <w:ind w:left="1500" w:right="160" w:hanging="743"/>
        <w:spacing w:after="0" w:line="251" w:lineRule="auto"/>
        <w:tabs>
          <w:tab w:leader="none" w:pos="1555" w:val="left"/>
        </w:tabs>
        <w:numPr>
          <w:ilvl w:val="0"/>
          <w:numId w:val="256"/>
        </w:numPr>
        <w:rPr>
          <w:rFonts w:ascii="Calibri" w:cs="Calibri" w:eastAsia="Calibri" w:hAnsi="Calibri"/>
          <w:sz w:val="18"/>
          <w:szCs w:val="18"/>
          <w:color w:val="auto"/>
        </w:rPr>
      </w:pPr>
      <w:r>
        <w:rPr>
          <w:rFonts w:ascii="Arial" w:cs="Arial" w:eastAsia="Arial" w:hAnsi="Arial"/>
          <w:sz w:val="20"/>
          <w:szCs w:val="20"/>
          <w:color w:val="auto"/>
        </w:rPr>
        <w:t>whether or not the Participant is to indemnify against Employer Social Security Liability by directing if, for the purposes of the Award, whether Tax Liability extends to such Employer Social Security Liability;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84" w:name="page285"/>
    <w:bookmarkEnd w:id="284"/>
    <w:p>
      <w:pPr>
        <w:spacing w:after="0" w:line="190" w:lineRule="exact"/>
        <w:rPr>
          <w:sz w:val="20"/>
          <w:szCs w:val="20"/>
          <w:color w:val="auto"/>
        </w:rPr>
      </w:pPr>
    </w:p>
    <w:p>
      <w:pPr>
        <w:ind w:left="420" w:hanging="748"/>
        <w:spacing w:after="0" w:line="241" w:lineRule="auto"/>
        <w:tabs>
          <w:tab w:leader="none" w:pos="400" w:val="left"/>
        </w:tabs>
        <w:rPr>
          <w:sz w:val="20"/>
          <w:szCs w:val="20"/>
          <w:color w:val="auto"/>
        </w:rPr>
      </w:pPr>
      <w:r>
        <w:rPr>
          <w:rFonts w:ascii="Arial" w:cs="Arial" w:eastAsia="Arial" w:hAnsi="Arial"/>
          <w:sz w:val="20"/>
          <w:szCs w:val="20"/>
          <w:color w:val="auto"/>
        </w:rPr>
        <w:t>3.3</w:t>
        <w:tab/>
        <w:t>It shall be a condition of the grant of an Award that the Participant indemnifies the Company and any other Group Member to the extent permitted by law against any Tax Liabilities which shall include, where the Committee so requires, Employer Social Security Liability all in accordance with Rule 6.</w:t>
      </w:r>
    </w:p>
    <w:p>
      <w:pPr>
        <w:spacing w:after="0" w:line="210" w:lineRule="exact"/>
        <w:rPr>
          <w:sz w:val="20"/>
          <w:szCs w:val="20"/>
          <w:color w:val="auto"/>
        </w:rPr>
      </w:pPr>
    </w:p>
    <w:p>
      <w:pPr>
        <w:ind w:left="1140" w:hanging="1047"/>
        <w:spacing w:after="0"/>
        <w:tabs>
          <w:tab w:leader="none" w:pos="1140" w:val="left"/>
        </w:tabs>
        <w:numPr>
          <w:ilvl w:val="0"/>
          <w:numId w:val="257"/>
        </w:numPr>
        <w:rPr>
          <w:rFonts w:ascii="Calibri" w:cs="Calibri" w:eastAsia="Calibri" w:hAnsi="Calibri"/>
          <w:sz w:val="20"/>
          <w:szCs w:val="20"/>
          <w:color w:val="auto"/>
        </w:rPr>
      </w:pPr>
      <w:r>
        <w:rPr>
          <w:rFonts w:ascii="Arial" w:cs="Arial" w:eastAsia="Arial" w:hAnsi="Arial"/>
          <w:sz w:val="20"/>
          <w:szCs w:val="20"/>
          <w:b w:val="1"/>
          <w:bCs w:val="1"/>
          <w:color w:val="auto"/>
        </w:rPr>
        <w:t>GRANT OF AWARDS</w:t>
      </w:r>
    </w:p>
    <w:p>
      <w:pPr>
        <w:spacing w:after="0" w:line="21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4.1</w:t>
      </w:r>
      <w:r>
        <w:rPr>
          <w:sz w:val="20"/>
          <w:szCs w:val="20"/>
          <w:color w:val="auto"/>
        </w:rPr>
        <w:tab/>
      </w:r>
      <w:r>
        <w:rPr>
          <w:rFonts w:ascii="Arial" w:cs="Arial" w:eastAsia="Arial" w:hAnsi="Arial"/>
          <w:sz w:val="19"/>
          <w:szCs w:val="19"/>
          <w:b w:val="1"/>
          <w:bCs w:val="1"/>
          <w:color w:val="auto"/>
        </w:rPr>
        <w:t>Terms of grant</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Subject to Rule 4.6 </w:t>
      </w:r>
      <w:r>
        <w:rPr>
          <w:rFonts w:ascii="Arial" w:cs="Arial" w:eastAsia="Arial" w:hAnsi="Arial"/>
          <w:sz w:val="20"/>
          <w:szCs w:val="20"/>
          <w:i w:val="1"/>
          <w:iCs w:val="1"/>
          <w:color w:val="auto"/>
        </w:rPr>
        <w:t>(Timing of grant),</w:t>
      </w:r>
      <w:r>
        <w:rPr>
          <w:rFonts w:ascii="Arial" w:cs="Arial" w:eastAsia="Arial" w:hAnsi="Arial"/>
          <w:sz w:val="20"/>
          <w:szCs w:val="20"/>
          <w:color w:val="auto"/>
        </w:rPr>
        <w:t xml:space="preserve"> Rule 4.7 (</w:t>
      </w:r>
      <w:r>
        <w:rPr>
          <w:rFonts w:ascii="Arial" w:cs="Arial" w:eastAsia="Arial" w:hAnsi="Arial"/>
          <w:sz w:val="20"/>
          <w:szCs w:val="20"/>
          <w:i w:val="1"/>
          <w:iCs w:val="1"/>
          <w:color w:val="auto"/>
        </w:rPr>
        <w:t>Approvals and consents</w:t>
      </w:r>
      <w:r>
        <w:rPr>
          <w:rFonts w:ascii="Arial" w:cs="Arial" w:eastAsia="Arial" w:hAnsi="Arial"/>
          <w:sz w:val="20"/>
          <w:szCs w:val="20"/>
          <w:color w:val="auto"/>
        </w:rPr>
        <w:t xml:space="preserve">) and Rule 5 (ISO </w:t>
      </w:r>
      <w:r>
        <w:rPr>
          <w:rFonts w:ascii="Arial" w:cs="Arial" w:eastAsia="Arial" w:hAnsi="Arial"/>
          <w:sz w:val="20"/>
          <w:szCs w:val="20"/>
          <w:i w:val="1"/>
          <w:iCs w:val="1"/>
          <w:color w:val="auto"/>
        </w:rPr>
        <w:t>Limits</w:t>
      </w:r>
      <w:r>
        <w:rPr>
          <w:rFonts w:ascii="Arial" w:cs="Arial" w:eastAsia="Arial" w:hAnsi="Arial"/>
          <w:sz w:val="20"/>
          <w:szCs w:val="20"/>
          <w:color w:val="auto"/>
        </w:rPr>
        <w:t>), the</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Committee may resolve to grant an Award on:</w:t>
      </w:r>
    </w:p>
    <w:p>
      <w:pPr>
        <w:spacing w:after="0" w:line="198" w:lineRule="exact"/>
        <w:rPr>
          <w:sz w:val="20"/>
          <w:szCs w:val="20"/>
          <w:color w:val="auto"/>
        </w:rPr>
      </w:pPr>
    </w:p>
    <w:p>
      <w:pPr>
        <w:ind w:left="1400" w:hanging="648"/>
        <w:spacing w:after="0"/>
        <w:tabs>
          <w:tab w:leader="none" w:pos="1400" w:val="left"/>
        </w:tabs>
        <w:numPr>
          <w:ilvl w:val="0"/>
          <w:numId w:val="258"/>
        </w:numPr>
        <w:rPr>
          <w:rFonts w:ascii="Calibri" w:cs="Calibri" w:eastAsia="Calibri" w:hAnsi="Calibri"/>
          <w:sz w:val="18"/>
          <w:szCs w:val="18"/>
          <w:color w:val="auto"/>
        </w:rPr>
      </w:pPr>
      <w:r>
        <w:rPr>
          <w:rFonts w:ascii="Arial" w:cs="Arial" w:eastAsia="Arial" w:hAnsi="Arial"/>
          <w:sz w:val="20"/>
          <w:szCs w:val="20"/>
          <w:color w:val="auto"/>
        </w:rPr>
        <w:t>the terms set out in the Plan; and</w:t>
      </w:r>
    </w:p>
    <w:p>
      <w:pPr>
        <w:spacing w:after="0" w:line="223" w:lineRule="exact"/>
        <w:rPr>
          <w:rFonts w:ascii="Calibri" w:cs="Calibri" w:eastAsia="Calibri" w:hAnsi="Calibri"/>
          <w:sz w:val="18"/>
          <w:szCs w:val="18"/>
          <w:color w:val="auto"/>
        </w:rPr>
      </w:pPr>
    </w:p>
    <w:p>
      <w:pPr>
        <w:ind w:left="1380" w:right="620" w:hanging="628"/>
        <w:spacing w:after="0" w:line="251" w:lineRule="auto"/>
        <w:tabs>
          <w:tab w:leader="none" w:pos="1380" w:val="left"/>
        </w:tabs>
        <w:numPr>
          <w:ilvl w:val="0"/>
          <w:numId w:val="258"/>
        </w:numPr>
        <w:rPr>
          <w:rFonts w:ascii="Calibri" w:cs="Calibri" w:eastAsia="Calibri" w:hAnsi="Calibri"/>
          <w:sz w:val="18"/>
          <w:szCs w:val="18"/>
          <w:color w:val="auto"/>
        </w:rPr>
      </w:pPr>
      <w:r>
        <w:rPr>
          <w:rFonts w:ascii="Arial" w:cs="Arial" w:eastAsia="Arial" w:hAnsi="Arial"/>
          <w:sz w:val="20"/>
          <w:szCs w:val="20"/>
          <w:color w:val="auto"/>
        </w:rPr>
        <w:t>such additional terms (whether a Performance Condition and/or any other terms) as the Committee may specify</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to such Eligible Persons as it decides.</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ISO Options</w:t>
      </w:r>
    </w:p>
    <w:p>
      <w:pPr>
        <w:spacing w:after="0" w:line="204" w:lineRule="exact"/>
        <w:rPr>
          <w:sz w:val="20"/>
          <w:szCs w:val="20"/>
          <w:color w:val="auto"/>
        </w:rPr>
      </w:pPr>
    </w:p>
    <w:p>
      <w:pPr>
        <w:ind w:left="740" w:right="920"/>
        <w:spacing w:after="0" w:line="257" w:lineRule="auto"/>
        <w:rPr>
          <w:sz w:val="20"/>
          <w:szCs w:val="20"/>
          <w:color w:val="auto"/>
        </w:rPr>
      </w:pPr>
      <w:r>
        <w:rPr>
          <w:rFonts w:ascii="Arial" w:cs="Arial" w:eastAsia="Arial" w:hAnsi="Arial"/>
          <w:sz w:val="20"/>
          <w:szCs w:val="20"/>
          <w:color w:val="auto"/>
        </w:rPr>
        <w:t>The following conditions apply to awards of ISO Options in addition to or, where inconsistent, in lieu of those described in the Plan:</w:t>
      </w:r>
    </w:p>
    <w:p>
      <w:pPr>
        <w:spacing w:after="0" w:line="155" w:lineRule="exact"/>
        <w:rPr>
          <w:sz w:val="20"/>
          <w:szCs w:val="20"/>
          <w:color w:val="auto"/>
        </w:rPr>
      </w:pPr>
    </w:p>
    <w:p>
      <w:pPr>
        <w:ind w:left="1480" w:right="220" w:hanging="369"/>
        <w:spacing w:after="0" w:line="241" w:lineRule="auto"/>
        <w:tabs>
          <w:tab w:leader="none" w:pos="1480" w:val="left"/>
        </w:tabs>
        <w:numPr>
          <w:ilvl w:val="0"/>
          <w:numId w:val="259"/>
        </w:numPr>
        <w:rPr>
          <w:rFonts w:ascii="Times New Roman" w:cs="Times New Roman" w:eastAsia="Times New Roman" w:hAnsi="Times New Roman"/>
          <w:sz w:val="20"/>
          <w:szCs w:val="20"/>
          <w:color w:val="auto"/>
        </w:rPr>
      </w:pPr>
      <w:r>
        <w:rPr>
          <w:rFonts w:ascii="Arial" w:cs="Arial" w:eastAsia="Arial" w:hAnsi="Arial"/>
          <w:sz w:val="20"/>
          <w:szCs w:val="20"/>
          <w:color w:val="auto"/>
        </w:rPr>
        <w:t>Eligibility. Only Employees of the Company or any “subsidiary corporation” of the Company (as such term is defined in Section 424(f) of the IRS Code, respectively), shall be eligible to receive ISO Options on such terms established by the Committee in compliance with the requirements of Section 422 of the IRS Code.</w:t>
      </w:r>
    </w:p>
    <w:p>
      <w:pPr>
        <w:spacing w:after="0" w:line="170" w:lineRule="exact"/>
        <w:rPr>
          <w:rFonts w:ascii="Times New Roman" w:cs="Times New Roman" w:eastAsia="Times New Roman" w:hAnsi="Times New Roman"/>
          <w:sz w:val="20"/>
          <w:szCs w:val="20"/>
          <w:color w:val="auto"/>
        </w:rPr>
      </w:pPr>
    </w:p>
    <w:p>
      <w:pPr>
        <w:jc w:val="both"/>
        <w:ind w:left="1480" w:right="220" w:hanging="369"/>
        <w:spacing w:after="0" w:line="241" w:lineRule="auto"/>
        <w:tabs>
          <w:tab w:leader="none" w:pos="1480" w:val="left"/>
        </w:tabs>
        <w:numPr>
          <w:ilvl w:val="0"/>
          <w:numId w:val="259"/>
        </w:numPr>
        <w:rPr>
          <w:rFonts w:ascii="Times New Roman" w:cs="Times New Roman" w:eastAsia="Times New Roman" w:hAnsi="Times New Roman"/>
          <w:sz w:val="20"/>
          <w:szCs w:val="20"/>
          <w:color w:val="auto"/>
        </w:rPr>
      </w:pPr>
      <w:r>
        <w:rPr>
          <w:rFonts w:ascii="Arial" w:cs="Arial" w:eastAsia="Arial" w:hAnsi="Arial"/>
          <w:sz w:val="20"/>
          <w:szCs w:val="20"/>
          <w:color w:val="auto"/>
        </w:rPr>
        <w:t>Option Price. In the case of a Ten Percent Shareholder, the price at which a Share may be purchased upon exercise of an ISO Option shall not be less than 110% of the Fair Market Value of such Share on the Grant Date.</w:t>
      </w:r>
    </w:p>
    <w:p>
      <w:pPr>
        <w:spacing w:after="0" w:line="170" w:lineRule="exact"/>
        <w:rPr>
          <w:rFonts w:ascii="Times New Roman" w:cs="Times New Roman" w:eastAsia="Times New Roman" w:hAnsi="Times New Roman"/>
          <w:sz w:val="20"/>
          <w:szCs w:val="20"/>
          <w:color w:val="auto"/>
        </w:rPr>
      </w:pPr>
    </w:p>
    <w:p>
      <w:pPr>
        <w:ind w:left="1480" w:right="420" w:hanging="369"/>
        <w:spacing w:after="0" w:line="256" w:lineRule="auto"/>
        <w:tabs>
          <w:tab w:leader="none" w:pos="1480" w:val="left"/>
        </w:tabs>
        <w:numPr>
          <w:ilvl w:val="0"/>
          <w:numId w:val="259"/>
        </w:numPr>
        <w:rPr>
          <w:rFonts w:ascii="Times New Roman" w:cs="Times New Roman" w:eastAsia="Times New Roman" w:hAnsi="Times New Roman"/>
          <w:sz w:val="20"/>
          <w:szCs w:val="20"/>
          <w:color w:val="auto"/>
        </w:rPr>
      </w:pPr>
      <w:r>
        <w:rPr>
          <w:rFonts w:ascii="Arial" w:cs="Arial" w:eastAsia="Arial" w:hAnsi="Arial"/>
          <w:sz w:val="20"/>
          <w:szCs w:val="20"/>
          <w:color w:val="auto"/>
        </w:rPr>
        <w:t>Term of Options. In the case of a Ten Percent Shareholder, the term of an ISO Option shall be no greater than five years.</w:t>
      </w:r>
    </w:p>
    <w:p>
      <w:pPr>
        <w:spacing w:after="0" w:line="156" w:lineRule="exact"/>
        <w:rPr>
          <w:rFonts w:ascii="Times New Roman" w:cs="Times New Roman" w:eastAsia="Times New Roman" w:hAnsi="Times New Roman"/>
          <w:sz w:val="20"/>
          <w:szCs w:val="20"/>
          <w:color w:val="auto"/>
        </w:rPr>
      </w:pPr>
    </w:p>
    <w:p>
      <w:pPr>
        <w:ind w:left="1480" w:right="340" w:hanging="369"/>
        <w:spacing w:after="0" w:line="236" w:lineRule="auto"/>
        <w:tabs>
          <w:tab w:leader="none" w:pos="1480" w:val="left"/>
        </w:tabs>
        <w:numPr>
          <w:ilvl w:val="0"/>
          <w:numId w:val="259"/>
        </w:numPr>
        <w:rPr>
          <w:rFonts w:ascii="Times New Roman" w:cs="Times New Roman" w:eastAsia="Times New Roman" w:hAnsi="Times New Roman"/>
          <w:sz w:val="20"/>
          <w:szCs w:val="20"/>
          <w:color w:val="auto"/>
        </w:rPr>
      </w:pPr>
      <w:r>
        <w:rPr>
          <w:rFonts w:ascii="Arial" w:cs="Arial" w:eastAsia="Arial" w:hAnsi="Arial"/>
          <w:sz w:val="20"/>
          <w:szCs w:val="20"/>
          <w:color w:val="auto"/>
        </w:rPr>
        <w:t>Certain Dollar Limitations. The aggregate Fair Market Value, determined as of the Grant Date, for ISO Options granted under the Plan (or any other stock plan required to be taken into account under IRS Code Section 422(d)) that are intended to be ISO Options which are first exercisable by the US Taxpayer during any calendar year shall not exceed $100,000.</w:t>
      </w:r>
    </w:p>
    <w:p>
      <w:pPr>
        <w:spacing w:after="0" w:line="163"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4.2</w:t>
      </w:r>
      <w:r>
        <w:rPr>
          <w:sz w:val="20"/>
          <w:szCs w:val="20"/>
          <w:color w:val="auto"/>
        </w:rPr>
        <w:tab/>
      </w:r>
      <w:r>
        <w:rPr>
          <w:rFonts w:ascii="Arial" w:cs="Arial" w:eastAsia="Arial" w:hAnsi="Arial"/>
          <w:sz w:val="19"/>
          <w:szCs w:val="19"/>
          <w:b w:val="1"/>
          <w:bCs w:val="1"/>
          <w:color w:val="auto"/>
        </w:rPr>
        <w:t>Type of Award</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On or before the Grant Date, the Committee shall determine whether an Award shall be:</w:t>
      </w:r>
    </w:p>
    <w:p>
      <w:pPr>
        <w:spacing w:after="0" w:line="216" w:lineRule="exact"/>
        <w:rPr>
          <w:sz w:val="20"/>
          <w:szCs w:val="20"/>
          <w:color w:val="auto"/>
        </w:rPr>
      </w:pPr>
    </w:p>
    <w:p>
      <w:pPr>
        <w:ind w:left="1400" w:hanging="648"/>
        <w:spacing w:after="0"/>
        <w:tabs>
          <w:tab w:leader="none" w:pos="1400" w:val="left"/>
        </w:tabs>
        <w:numPr>
          <w:ilvl w:val="0"/>
          <w:numId w:val="260"/>
        </w:numPr>
        <w:rPr>
          <w:rFonts w:ascii="Calibri" w:cs="Calibri" w:eastAsia="Calibri" w:hAnsi="Calibri"/>
          <w:sz w:val="18"/>
          <w:szCs w:val="18"/>
          <w:color w:val="auto"/>
        </w:rPr>
      </w:pPr>
      <w:r>
        <w:rPr>
          <w:rFonts w:ascii="Arial" w:cs="Arial" w:eastAsia="Arial" w:hAnsi="Arial"/>
          <w:sz w:val="20"/>
          <w:szCs w:val="20"/>
          <w:color w:val="auto"/>
        </w:rPr>
        <w:t>granted in relation to Ordinary Shares or ADSs;</w:t>
      </w:r>
    </w:p>
    <w:p>
      <w:pPr>
        <w:spacing w:after="0" w:line="223" w:lineRule="exact"/>
        <w:rPr>
          <w:rFonts w:ascii="Calibri" w:cs="Calibri" w:eastAsia="Calibri" w:hAnsi="Calibri"/>
          <w:sz w:val="18"/>
          <w:szCs w:val="18"/>
          <w:color w:val="auto"/>
        </w:rPr>
      </w:pPr>
    </w:p>
    <w:p>
      <w:pPr>
        <w:ind w:left="1400" w:hanging="648"/>
        <w:spacing w:after="0"/>
        <w:tabs>
          <w:tab w:leader="none" w:pos="1400" w:val="left"/>
        </w:tabs>
        <w:numPr>
          <w:ilvl w:val="0"/>
          <w:numId w:val="260"/>
        </w:numPr>
        <w:rPr>
          <w:rFonts w:ascii="Calibri" w:cs="Calibri" w:eastAsia="Calibri" w:hAnsi="Calibri"/>
          <w:sz w:val="18"/>
          <w:szCs w:val="18"/>
          <w:color w:val="auto"/>
        </w:rPr>
      </w:pPr>
      <w:r>
        <w:rPr>
          <w:rFonts w:ascii="Arial" w:cs="Arial" w:eastAsia="Arial" w:hAnsi="Arial"/>
          <w:sz w:val="20"/>
          <w:szCs w:val="20"/>
          <w:color w:val="auto"/>
        </w:rPr>
        <w:t>in the form of a Conditional Award or an Option;</w:t>
      </w:r>
    </w:p>
    <w:p>
      <w:pPr>
        <w:spacing w:after="0" w:line="236" w:lineRule="exact"/>
        <w:rPr>
          <w:rFonts w:ascii="Calibri" w:cs="Calibri" w:eastAsia="Calibri" w:hAnsi="Calibri"/>
          <w:sz w:val="18"/>
          <w:szCs w:val="18"/>
          <w:color w:val="auto"/>
        </w:rPr>
      </w:pPr>
    </w:p>
    <w:p>
      <w:pPr>
        <w:ind w:left="1380" w:hanging="628"/>
        <w:spacing w:after="0" w:line="251" w:lineRule="auto"/>
        <w:tabs>
          <w:tab w:leader="none" w:pos="1380" w:val="left"/>
        </w:tabs>
        <w:numPr>
          <w:ilvl w:val="0"/>
          <w:numId w:val="260"/>
        </w:numPr>
        <w:rPr>
          <w:rFonts w:ascii="Calibri" w:cs="Calibri" w:eastAsia="Calibri" w:hAnsi="Calibri"/>
          <w:sz w:val="18"/>
          <w:szCs w:val="18"/>
          <w:color w:val="auto"/>
        </w:rPr>
      </w:pPr>
      <w:r>
        <w:rPr>
          <w:rFonts w:ascii="Arial" w:cs="Arial" w:eastAsia="Arial" w:hAnsi="Arial"/>
          <w:sz w:val="20"/>
          <w:szCs w:val="20"/>
          <w:color w:val="auto"/>
        </w:rPr>
        <w:t>if granted as an Option, whether it is a Regular Option (and if granted to a US Taxpayer, whether it is intended to be an ISO Option), a Short-Term Option or an RSU-style Option;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85" w:name="page286"/>
    <w:bookmarkEnd w:id="285"/>
    <w:p>
      <w:pPr>
        <w:spacing w:after="0" w:line="163" w:lineRule="exact"/>
        <w:rPr>
          <w:sz w:val="20"/>
          <w:szCs w:val="20"/>
          <w:color w:val="auto"/>
        </w:rPr>
      </w:pPr>
    </w:p>
    <w:p>
      <w:pPr>
        <w:ind w:left="740"/>
        <w:spacing w:after="0" w:line="257" w:lineRule="auto"/>
        <w:rPr>
          <w:sz w:val="20"/>
          <w:szCs w:val="20"/>
          <w:color w:val="auto"/>
        </w:rPr>
      </w:pPr>
      <w:r>
        <w:rPr>
          <w:rFonts w:ascii="Arial" w:cs="Arial" w:eastAsia="Arial" w:hAnsi="Arial"/>
          <w:sz w:val="20"/>
          <w:szCs w:val="20"/>
          <w:color w:val="auto"/>
        </w:rPr>
        <w:t>Any Option granted to a US Taxpayer with an Option Price that is less than Fair Market Value on the Grant Date that is not granted as an RSU-style Option shall be deemed a Short-Term Option.</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4.3</w:t>
      </w:r>
      <w:r>
        <w:rPr>
          <w:sz w:val="20"/>
          <w:szCs w:val="20"/>
          <w:color w:val="auto"/>
        </w:rPr>
        <w:tab/>
      </w:r>
      <w:r>
        <w:rPr>
          <w:rFonts w:ascii="Arial" w:cs="Arial" w:eastAsia="Arial" w:hAnsi="Arial"/>
          <w:sz w:val="19"/>
          <w:szCs w:val="19"/>
          <w:b w:val="1"/>
          <w:bCs w:val="1"/>
          <w:color w:val="auto"/>
        </w:rPr>
        <w:t>Method of grant</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Award shall be granted as follows:</w:t>
      </w:r>
    </w:p>
    <w:p>
      <w:pPr>
        <w:spacing w:after="0" w:line="216" w:lineRule="exact"/>
        <w:rPr>
          <w:sz w:val="20"/>
          <w:szCs w:val="20"/>
          <w:color w:val="auto"/>
        </w:rPr>
      </w:pPr>
    </w:p>
    <w:p>
      <w:pPr>
        <w:ind w:left="1400" w:hanging="648"/>
        <w:spacing w:after="0"/>
        <w:tabs>
          <w:tab w:leader="none" w:pos="1400" w:val="left"/>
        </w:tabs>
        <w:numPr>
          <w:ilvl w:val="0"/>
          <w:numId w:val="261"/>
        </w:numPr>
        <w:rPr>
          <w:rFonts w:ascii="Calibri" w:cs="Calibri" w:eastAsia="Calibri" w:hAnsi="Calibri"/>
          <w:sz w:val="18"/>
          <w:szCs w:val="18"/>
          <w:color w:val="auto"/>
        </w:rPr>
      </w:pPr>
      <w:r>
        <w:rPr>
          <w:rFonts w:ascii="Arial" w:cs="Arial" w:eastAsia="Arial" w:hAnsi="Arial"/>
          <w:sz w:val="20"/>
          <w:szCs w:val="20"/>
          <w:color w:val="auto"/>
        </w:rPr>
        <w:t>by deed executed by the Company; and</w:t>
      </w:r>
    </w:p>
    <w:p>
      <w:pPr>
        <w:spacing w:after="0" w:line="277" w:lineRule="exact"/>
        <w:rPr>
          <w:rFonts w:ascii="Calibri" w:cs="Calibri" w:eastAsia="Calibri" w:hAnsi="Calibri"/>
          <w:sz w:val="18"/>
          <w:szCs w:val="18"/>
          <w:color w:val="auto"/>
        </w:rPr>
      </w:pPr>
    </w:p>
    <w:p>
      <w:pPr>
        <w:jc w:val="both"/>
        <w:ind w:left="1380" w:hanging="628"/>
        <w:spacing w:after="0" w:line="232" w:lineRule="auto"/>
        <w:tabs>
          <w:tab w:leader="none" w:pos="1380" w:val="left"/>
        </w:tabs>
        <w:numPr>
          <w:ilvl w:val="0"/>
          <w:numId w:val="261"/>
        </w:numPr>
        <w:rPr>
          <w:rFonts w:ascii="Calibri" w:cs="Calibri" w:eastAsia="Calibri" w:hAnsi="Calibri"/>
          <w:sz w:val="18"/>
          <w:szCs w:val="18"/>
          <w:color w:val="auto"/>
        </w:rPr>
      </w:pPr>
      <w:r>
        <w:rPr>
          <w:rFonts w:ascii="Arial" w:cs="Arial" w:eastAsia="Arial" w:hAnsi="Arial"/>
          <w:sz w:val="20"/>
          <w:szCs w:val="20"/>
          <w:color w:val="auto"/>
        </w:rPr>
        <w:t>if an Award is an Option, the Committee shall determine the Option Price on or before the Grant Date provided that, except in the case of an Option granted to a US Taxpayer, the Committee may reduce or waive such Option Price on or prior to the exercise of the Option. In the case of a Regular Option granted to a US Taxpayer, the Option Price per Share shall, subject to any adjustments permitted by Section 409A of the IRS Code and its regulations for corporate transactions, never be less than the Fair Market Value of such Share on the Grant Date.</w:t>
      </w:r>
    </w:p>
    <w:p>
      <w:pPr>
        <w:spacing w:after="0" w:line="145"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In the case of an Option granted to a US Taxpayer, for the avoidance of doubt, the following actions shall have occurred as of the Grant Date: (i) the recipient of the grant of the Option shall have been identified, (ii) the maximum number of Shares that can be purchased under the Option shall have been established, (iii) the Option Price shall have been established; (iv) whether the Option is granted in relation to Ordinary Shares or ADSs shall have been established (all Options not designated otherwise shall be Options to acquire ADSs); and (v) the recipient of the grant shall have acquired a legally binding right to the Option (which may, however, be subject to lapse or forfeiture).</w:t>
      </w:r>
    </w:p>
    <w:p>
      <w:pPr>
        <w:spacing w:after="0" w:line="17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4.4</w:t>
      </w:r>
      <w:r>
        <w:rPr>
          <w:sz w:val="20"/>
          <w:szCs w:val="20"/>
          <w:color w:val="auto"/>
        </w:rPr>
        <w:tab/>
      </w:r>
      <w:r>
        <w:rPr>
          <w:rFonts w:ascii="Arial" w:cs="Arial" w:eastAsia="Arial" w:hAnsi="Arial"/>
          <w:sz w:val="19"/>
          <w:szCs w:val="19"/>
          <w:b w:val="1"/>
          <w:bCs w:val="1"/>
          <w:color w:val="auto"/>
        </w:rPr>
        <w:t>Acceptance of RSU-style Options</w:t>
      </w:r>
    </w:p>
    <w:p>
      <w:pPr>
        <w:spacing w:after="0" w:line="213" w:lineRule="exact"/>
        <w:rPr>
          <w:sz w:val="20"/>
          <w:szCs w:val="20"/>
          <w:color w:val="auto"/>
        </w:rPr>
      </w:pPr>
    </w:p>
    <w:p>
      <w:pPr>
        <w:jc w:val="both"/>
        <w:ind w:left="740"/>
        <w:spacing w:after="0" w:line="231" w:lineRule="auto"/>
        <w:rPr>
          <w:sz w:val="20"/>
          <w:szCs w:val="20"/>
          <w:color w:val="auto"/>
        </w:rPr>
      </w:pPr>
      <w:r>
        <w:rPr>
          <w:rFonts w:ascii="Arial" w:cs="Arial" w:eastAsia="Arial" w:hAnsi="Arial"/>
          <w:sz w:val="20"/>
          <w:szCs w:val="20"/>
          <w:color w:val="auto"/>
        </w:rPr>
        <w:t>An RSU-style Option is subject to the requirement that the Participant executes as a deed an acceptance in such form as the Committee may specify agreeing to be bound by the terms of the Award, and undertaking to pay the Option Price for the Award upon its exercise in accordance with Rule 8.4 (</w:t>
      </w:r>
      <w:r>
        <w:rPr>
          <w:rFonts w:ascii="Arial" w:cs="Arial" w:eastAsia="Arial" w:hAnsi="Arial"/>
          <w:sz w:val="20"/>
          <w:szCs w:val="20"/>
          <w:i w:val="1"/>
          <w:iCs w:val="1"/>
          <w:color w:val="auto"/>
        </w:rPr>
        <w:t>Method of exercise: RSU-style Option</w:t>
      </w:r>
      <w:r>
        <w:rPr>
          <w:rFonts w:ascii="Arial" w:cs="Arial" w:eastAsia="Arial" w:hAnsi="Arial"/>
          <w:sz w:val="20"/>
          <w:szCs w:val="20"/>
          <w:color w:val="auto"/>
        </w:rPr>
        <w:t xml:space="preserve">) (an </w:t>
      </w:r>
      <w:r>
        <w:rPr>
          <w:rFonts w:ascii="Arial" w:cs="Arial" w:eastAsia="Arial" w:hAnsi="Arial"/>
          <w:sz w:val="20"/>
          <w:szCs w:val="20"/>
          <w:b w:val="1"/>
          <w:bCs w:val="1"/>
          <w:color w:val="auto"/>
        </w:rPr>
        <w:t>"Acceptance"</w:t>
      </w:r>
      <w:r>
        <w:rPr>
          <w:rFonts w:ascii="Arial" w:cs="Arial" w:eastAsia="Arial" w:hAnsi="Arial"/>
          <w:sz w:val="20"/>
          <w:szCs w:val="20"/>
          <w:color w:val="auto"/>
        </w:rPr>
        <w:t>) and delivers the same to the Company. If the Participant has not duly executed and delivered an</w:t>
      </w:r>
      <w:r>
        <w:rPr>
          <w:rFonts w:ascii="Arial" w:cs="Arial" w:eastAsia="Arial" w:hAnsi="Arial"/>
          <w:sz w:val="20"/>
          <w:szCs w:val="20"/>
          <w:b w:val="1"/>
          <w:bCs w:val="1"/>
          <w:color w:val="auto"/>
        </w:rPr>
        <w:t xml:space="preserve"> </w:t>
      </w:r>
      <w:r>
        <w:rPr>
          <w:rFonts w:ascii="Arial" w:cs="Arial" w:eastAsia="Arial" w:hAnsi="Arial"/>
          <w:sz w:val="20"/>
          <w:szCs w:val="20"/>
          <w:color w:val="auto"/>
        </w:rPr>
        <w:t>Acceptance by midnight on the date 30 days after the Grant Date the Company may, at any time before the delivery of a duly executed Acceptance determine that the Award has lapsed. The undertaking to pay the Option Price shall be deemed an undertaking to pay the subscription price for the Ordinary Shares, or underlying Ordinary Shares, as appropriate, subject to the Award.</w:t>
      </w:r>
    </w:p>
    <w:p>
      <w:pPr>
        <w:spacing w:after="0" w:line="175"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4.5</w:t>
      </w:r>
      <w:r>
        <w:rPr>
          <w:sz w:val="20"/>
          <w:szCs w:val="20"/>
          <w:color w:val="auto"/>
        </w:rPr>
        <w:tab/>
      </w:r>
      <w:r>
        <w:rPr>
          <w:rFonts w:ascii="Arial" w:cs="Arial" w:eastAsia="Arial" w:hAnsi="Arial"/>
          <w:sz w:val="19"/>
          <w:szCs w:val="19"/>
          <w:b w:val="1"/>
          <w:bCs w:val="1"/>
          <w:color w:val="auto"/>
        </w:rPr>
        <w:t>Method of satisfying Awards</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Unless specified to the contrary by the Committee on the Grant Date, an Award may be satisfied:</w:t>
      </w:r>
    </w:p>
    <w:p>
      <w:pPr>
        <w:spacing w:after="0" w:line="202" w:lineRule="exact"/>
        <w:rPr>
          <w:sz w:val="20"/>
          <w:szCs w:val="20"/>
          <w:color w:val="auto"/>
        </w:rPr>
      </w:pPr>
    </w:p>
    <w:p>
      <w:pPr>
        <w:ind w:left="1400" w:hanging="648"/>
        <w:spacing w:after="0"/>
        <w:tabs>
          <w:tab w:leader="none" w:pos="1400" w:val="left"/>
        </w:tabs>
        <w:numPr>
          <w:ilvl w:val="0"/>
          <w:numId w:val="262"/>
        </w:numPr>
        <w:rPr>
          <w:rFonts w:ascii="Calibri" w:cs="Calibri" w:eastAsia="Calibri" w:hAnsi="Calibri"/>
          <w:sz w:val="18"/>
          <w:szCs w:val="18"/>
          <w:color w:val="auto"/>
        </w:rPr>
      </w:pPr>
      <w:r>
        <w:rPr>
          <w:rFonts w:ascii="Arial" w:cs="Arial" w:eastAsia="Arial" w:hAnsi="Arial"/>
          <w:sz w:val="20"/>
          <w:szCs w:val="20"/>
          <w:color w:val="auto"/>
        </w:rPr>
        <w:t>by the issue of new Shares; and/or</w:t>
      </w:r>
    </w:p>
    <w:p>
      <w:pPr>
        <w:spacing w:after="0" w:line="236" w:lineRule="exact"/>
        <w:rPr>
          <w:rFonts w:ascii="Calibri" w:cs="Calibri" w:eastAsia="Calibri" w:hAnsi="Calibri"/>
          <w:sz w:val="18"/>
          <w:szCs w:val="18"/>
          <w:color w:val="auto"/>
        </w:rPr>
      </w:pPr>
    </w:p>
    <w:p>
      <w:pPr>
        <w:ind w:left="1400" w:hanging="648"/>
        <w:spacing w:after="0"/>
        <w:tabs>
          <w:tab w:leader="none" w:pos="1400" w:val="left"/>
        </w:tabs>
        <w:numPr>
          <w:ilvl w:val="0"/>
          <w:numId w:val="262"/>
        </w:numPr>
        <w:rPr>
          <w:rFonts w:ascii="Calibri" w:cs="Calibri" w:eastAsia="Calibri" w:hAnsi="Calibri"/>
          <w:sz w:val="18"/>
          <w:szCs w:val="18"/>
          <w:color w:val="auto"/>
        </w:rPr>
      </w:pPr>
      <w:r>
        <w:rPr>
          <w:rFonts w:ascii="Arial" w:cs="Arial" w:eastAsia="Arial" w:hAnsi="Arial"/>
          <w:sz w:val="20"/>
          <w:szCs w:val="20"/>
          <w:color w:val="auto"/>
        </w:rPr>
        <w:t>by the transfer of existing Shares.</w:t>
      </w:r>
    </w:p>
    <w:p>
      <w:pPr>
        <w:spacing w:after="0" w:line="277" w:lineRule="exact"/>
        <w:rPr>
          <w:sz w:val="20"/>
          <w:szCs w:val="20"/>
          <w:color w:val="auto"/>
        </w:rPr>
      </w:pPr>
    </w:p>
    <w:p>
      <w:pPr>
        <w:ind w:left="740" w:right="100"/>
        <w:spacing w:after="0" w:line="257" w:lineRule="auto"/>
        <w:rPr>
          <w:sz w:val="20"/>
          <w:szCs w:val="20"/>
          <w:color w:val="auto"/>
        </w:rPr>
      </w:pPr>
      <w:r>
        <w:rPr>
          <w:rFonts w:ascii="Arial" w:cs="Arial" w:eastAsia="Arial" w:hAnsi="Arial"/>
          <w:sz w:val="20"/>
          <w:szCs w:val="20"/>
          <w:color w:val="auto"/>
        </w:rPr>
        <w:t>The Committee may decide to change the way in which it is intended that an Award may be satisfied after it has been granted.</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4.6</w:t>
      </w:r>
      <w:r>
        <w:rPr>
          <w:sz w:val="20"/>
          <w:szCs w:val="20"/>
          <w:color w:val="auto"/>
        </w:rPr>
        <w:tab/>
      </w:r>
      <w:r>
        <w:rPr>
          <w:rFonts w:ascii="Arial" w:cs="Arial" w:eastAsia="Arial" w:hAnsi="Arial"/>
          <w:sz w:val="19"/>
          <w:szCs w:val="19"/>
          <w:b w:val="1"/>
          <w:bCs w:val="1"/>
          <w:color w:val="auto"/>
        </w:rPr>
        <w:t>No grants after expiry of ten-year grant period</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Awards may be granted after 25 June 2030 (that is, the expiry of the period of 10 years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215265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86" w:name="page287"/>
    <w:bookmarkEnd w:id="286"/>
    <w:p>
      <w:pPr>
        <w:spacing w:after="0" w:line="55"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with the date on which the Plan is approved by the shareholders of the Company). The Plan shall remain in effect after that date in relation to any Awards granted before that date which are still outstanding.</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4.7</w:t>
      </w:r>
      <w:r>
        <w:rPr>
          <w:sz w:val="20"/>
          <w:szCs w:val="20"/>
          <w:color w:val="auto"/>
        </w:rPr>
        <w:tab/>
      </w:r>
      <w:r>
        <w:rPr>
          <w:rFonts w:ascii="Arial" w:cs="Arial" w:eastAsia="Arial" w:hAnsi="Arial"/>
          <w:sz w:val="19"/>
          <w:szCs w:val="19"/>
          <w:b w:val="1"/>
          <w:bCs w:val="1"/>
          <w:color w:val="auto"/>
        </w:rPr>
        <w:t>Approvals and consents</w:t>
      </w:r>
    </w:p>
    <w:p>
      <w:pPr>
        <w:spacing w:after="0" w:line="213"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The grant of any Award shall be subject to obtaining any approval or consent required under any applicable rules of any exchange on which Shares or securities of the Company are listed or traded, any relevant share dealing code of the Company, the City Code on Takeovers and Mergers, or any other relevant UK or overseas regulation or enactment.</w:t>
      </w:r>
    </w:p>
    <w:p>
      <w:pPr>
        <w:spacing w:after="0" w:line="16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4.8</w:t>
      </w:r>
      <w:r>
        <w:rPr>
          <w:sz w:val="20"/>
          <w:szCs w:val="20"/>
          <w:color w:val="auto"/>
        </w:rPr>
        <w:tab/>
      </w:r>
      <w:r>
        <w:rPr>
          <w:rFonts w:ascii="Arial" w:cs="Arial" w:eastAsia="Arial" w:hAnsi="Arial"/>
          <w:sz w:val="19"/>
          <w:szCs w:val="19"/>
          <w:b w:val="1"/>
          <w:bCs w:val="1"/>
          <w:color w:val="auto"/>
        </w:rPr>
        <w:t>Non-transferability and bankruptcy</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Award granted to any person:</w:t>
      </w:r>
    </w:p>
    <w:p>
      <w:pPr>
        <w:spacing w:after="0" w:line="216" w:lineRule="exact"/>
        <w:rPr>
          <w:sz w:val="20"/>
          <w:szCs w:val="20"/>
          <w:color w:val="auto"/>
        </w:rPr>
      </w:pPr>
    </w:p>
    <w:p>
      <w:pPr>
        <w:jc w:val="both"/>
        <w:ind w:left="1380" w:hanging="628"/>
        <w:spacing w:after="0" w:line="239" w:lineRule="auto"/>
        <w:tabs>
          <w:tab w:leader="none" w:pos="1380" w:val="left"/>
        </w:tabs>
        <w:numPr>
          <w:ilvl w:val="0"/>
          <w:numId w:val="263"/>
        </w:numPr>
        <w:rPr>
          <w:rFonts w:ascii="Calibri" w:cs="Calibri" w:eastAsia="Calibri" w:hAnsi="Calibri"/>
          <w:sz w:val="18"/>
          <w:szCs w:val="18"/>
          <w:color w:val="auto"/>
        </w:rPr>
      </w:pPr>
      <w:r>
        <w:rPr>
          <w:rFonts w:ascii="Arial" w:cs="Arial" w:eastAsia="Arial" w:hAnsi="Arial"/>
          <w:sz w:val="20"/>
          <w:szCs w:val="20"/>
          <w:color w:val="auto"/>
        </w:rPr>
        <w:t>shall not be transferred, assigned, encumbered, pledged, charged or otherwise disposed of (save as expressly permitted below in this Rule 4.8 and except on his death to his personal representatives) and shall lapse immediately on any attempt to do so; and</w:t>
      </w:r>
    </w:p>
    <w:p>
      <w:pPr>
        <w:spacing w:after="0" w:line="171" w:lineRule="exact"/>
        <w:rPr>
          <w:rFonts w:ascii="Calibri" w:cs="Calibri" w:eastAsia="Calibri" w:hAnsi="Calibri"/>
          <w:sz w:val="18"/>
          <w:szCs w:val="18"/>
          <w:color w:val="auto"/>
        </w:rPr>
      </w:pPr>
    </w:p>
    <w:p>
      <w:pPr>
        <w:ind w:left="1400" w:hanging="648"/>
        <w:spacing w:after="0"/>
        <w:tabs>
          <w:tab w:leader="none" w:pos="1400" w:val="left"/>
        </w:tabs>
        <w:numPr>
          <w:ilvl w:val="0"/>
          <w:numId w:val="263"/>
        </w:numPr>
        <w:rPr>
          <w:rFonts w:ascii="Calibri" w:cs="Calibri" w:eastAsia="Calibri" w:hAnsi="Calibri"/>
          <w:sz w:val="18"/>
          <w:szCs w:val="18"/>
          <w:color w:val="auto"/>
        </w:rPr>
      </w:pPr>
      <w:r>
        <w:rPr>
          <w:rFonts w:ascii="Arial" w:cs="Arial" w:eastAsia="Arial" w:hAnsi="Arial"/>
          <w:sz w:val="20"/>
          <w:szCs w:val="20"/>
          <w:color w:val="auto"/>
        </w:rPr>
        <w:t>shall lapse immediately if he is declared bankrupt.</w:t>
      </w:r>
    </w:p>
    <w:p>
      <w:pPr>
        <w:spacing w:after="0" w:line="196"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Notwithstanding the foregoing and subject to the IRS Code rules applicable to ISO Options, Participants resident in the United States of America may with the permission of the Committee transfer an Award to family members by gift or pursuant to a domestic relations order, within the parameters permitted for registration of the Shares on a Form S-8 Registration Statement under the US Securities Act of 1933, as amended and other applicable securities rules. In no event may any Award be transferred for consideration.</w:t>
      </w:r>
    </w:p>
    <w:p>
      <w:pPr>
        <w:spacing w:after="0" w:line="175" w:lineRule="exact"/>
        <w:rPr>
          <w:sz w:val="20"/>
          <w:szCs w:val="20"/>
          <w:color w:val="auto"/>
        </w:rPr>
      </w:pPr>
    </w:p>
    <w:p>
      <w:pPr>
        <w:jc w:val="both"/>
        <w:ind w:left="740"/>
        <w:spacing w:after="0" w:line="235" w:lineRule="auto"/>
        <w:rPr>
          <w:sz w:val="20"/>
          <w:szCs w:val="20"/>
          <w:color w:val="auto"/>
        </w:rPr>
      </w:pPr>
      <w:r>
        <w:rPr>
          <w:rFonts w:ascii="Arial" w:cs="Arial" w:eastAsia="Arial" w:hAnsi="Arial"/>
          <w:sz w:val="20"/>
          <w:szCs w:val="20"/>
          <w:color w:val="auto"/>
        </w:rPr>
        <w:t>Each Employee who receives an ISO Option must agree to notify the Company in writing immediately after the Employee makes a Disqualifying Disposition of any Shares acquired pursuant to the exercise of an ISO Option. A Disqualifying Disposition is defined in Section 424(c) of the IRS Code and includes any disposition (including any sale or gift) of such Shares before the later of (a) two years after the date the Employee was granted the ISO Option, or (b) one year after the date the Employee acquired Shares by exercising the ISO Option, except as otherwise provided in Section 424(c) of the IRS Code.</w:t>
      </w:r>
    </w:p>
    <w:p>
      <w:pPr>
        <w:spacing w:after="0" w:line="186" w:lineRule="exact"/>
        <w:rPr>
          <w:sz w:val="20"/>
          <w:szCs w:val="20"/>
          <w:color w:val="auto"/>
        </w:rPr>
      </w:pPr>
    </w:p>
    <w:p>
      <w:pPr>
        <w:ind w:left="740" w:hanging="647"/>
        <w:spacing w:after="0"/>
        <w:tabs>
          <w:tab w:leader="none" w:pos="740" w:val="left"/>
        </w:tabs>
        <w:numPr>
          <w:ilvl w:val="0"/>
          <w:numId w:val="264"/>
        </w:numPr>
        <w:rPr>
          <w:rFonts w:ascii="Calibri" w:cs="Calibri" w:eastAsia="Calibri" w:hAnsi="Calibri"/>
          <w:sz w:val="20"/>
          <w:szCs w:val="20"/>
          <w:color w:val="auto"/>
        </w:rPr>
      </w:pPr>
      <w:r>
        <w:rPr>
          <w:rFonts w:ascii="Arial" w:cs="Arial" w:eastAsia="Arial" w:hAnsi="Arial"/>
          <w:sz w:val="20"/>
          <w:szCs w:val="20"/>
          <w:b w:val="1"/>
          <w:bCs w:val="1"/>
          <w:color w:val="auto"/>
        </w:rPr>
        <w:t>ISO OPTION LIMITS</w:t>
      </w:r>
    </w:p>
    <w:p>
      <w:pPr>
        <w:spacing w:after="0" w:line="284" w:lineRule="exact"/>
        <w:rPr>
          <w:rFonts w:ascii="Calibri" w:cs="Calibri" w:eastAsia="Calibri" w:hAnsi="Calibri"/>
          <w:sz w:val="20"/>
          <w:szCs w:val="20"/>
          <w:color w:val="auto"/>
        </w:rPr>
      </w:pPr>
    </w:p>
    <w:p>
      <w:pPr>
        <w:jc w:val="both"/>
        <w:ind w:left="740"/>
        <w:spacing w:after="0" w:line="231" w:lineRule="auto"/>
        <w:rPr>
          <w:rFonts w:ascii="Calibri" w:cs="Calibri" w:eastAsia="Calibri" w:hAnsi="Calibri"/>
          <w:sz w:val="20"/>
          <w:szCs w:val="20"/>
          <w:color w:val="auto"/>
        </w:rPr>
      </w:pPr>
      <w:r>
        <w:rPr>
          <w:rFonts w:ascii="Arial" w:cs="Arial" w:eastAsia="Arial" w:hAnsi="Arial"/>
          <w:sz w:val="20"/>
          <w:szCs w:val="20"/>
          <w:color w:val="auto"/>
        </w:rPr>
        <w:t xml:space="preserve">The aggregate maximum number of Ordinary Shares which have been and may be acquired by Participants (including the underlying Ordinary Shares in relation to ADSs) pursuant to the exercise of ISO Options granted under the Plan since its adoption shall be 2,000,000 (the </w:t>
      </w:r>
      <w:r>
        <w:rPr>
          <w:rFonts w:ascii="Arial" w:cs="Arial" w:eastAsia="Arial" w:hAnsi="Arial"/>
          <w:sz w:val="20"/>
          <w:szCs w:val="20"/>
          <w:b w:val="1"/>
          <w:bCs w:val="1"/>
          <w:color w:val="auto"/>
        </w:rPr>
        <w:t>"ISO Limit"</w:t>
      </w:r>
      <w:r>
        <w:rPr>
          <w:rFonts w:ascii="Arial" w:cs="Arial" w:eastAsia="Arial" w:hAnsi="Arial"/>
          <w:sz w:val="20"/>
          <w:szCs w:val="20"/>
          <w:color w:val="auto"/>
        </w:rPr>
        <w:t>), subject to such adjustment as the Committee may determine to be appropriate upon any change that is made in, or other events that occur with respect to, the Shares without the receipt of consideration by the Company through merger,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w:t>
      </w:r>
    </w:p>
    <w:p>
      <w:pPr>
        <w:spacing w:after="0" w:line="171" w:lineRule="exact"/>
        <w:rPr>
          <w:rFonts w:ascii="Calibri" w:cs="Calibri" w:eastAsia="Calibri" w:hAnsi="Calibri"/>
          <w:sz w:val="20"/>
          <w:szCs w:val="20"/>
          <w:color w:val="auto"/>
        </w:rPr>
      </w:pPr>
    </w:p>
    <w:p>
      <w:pPr>
        <w:ind w:left="740" w:hanging="647"/>
        <w:spacing w:after="0"/>
        <w:tabs>
          <w:tab w:leader="none" w:pos="740" w:val="left"/>
        </w:tabs>
        <w:numPr>
          <w:ilvl w:val="0"/>
          <w:numId w:val="264"/>
        </w:numPr>
        <w:rPr>
          <w:rFonts w:ascii="Calibri" w:cs="Calibri" w:eastAsia="Calibri" w:hAnsi="Calibri"/>
          <w:sz w:val="20"/>
          <w:szCs w:val="20"/>
          <w:color w:val="auto"/>
        </w:rPr>
      </w:pPr>
      <w:r>
        <w:rPr>
          <w:rFonts w:ascii="Arial" w:cs="Arial" w:eastAsia="Arial" w:hAnsi="Arial"/>
          <w:sz w:val="20"/>
          <w:szCs w:val="20"/>
          <w:b w:val="1"/>
          <w:bCs w:val="1"/>
          <w:color w:val="auto"/>
        </w:rPr>
        <w:t>VESTING OF AWARDS</w:t>
      </w:r>
    </w:p>
    <w:p>
      <w:pPr>
        <w:spacing w:after="0" w:line="232"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6.1</w:t>
      </w:r>
      <w:r>
        <w:rPr>
          <w:sz w:val="20"/>
          <w:szCs w:val="20"/>
          <w:color w:val="auto"/>
        </w:rPr>
        <w:tab/>
      </w:r>
      <w:r>
        <w:rPr>
          <w:rFonts w:ascii="Arial" w:cs="Arial" w:eastAsia="Arial" w:hAnsi="Arial"/>
          <w:sz w:val="19"/>
          <w:szCs w:val="19"/>
          <w:b w:val="1"/>
          <w:bCs w:val="1"/>
          <w:color w:val="auto"/>
        </w:rPr>
        <w:t>Timing of Vesting: Normal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215265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87" w:name="page288"/>
    <w:bookmarkEnd w:id="287"/>
    <w:p>
      <w:pPr>
        <w:ind w:left="740"/>
        <w:spacing w:after="0"/>
        <w:rPr>
          <w:sz w:val="20"/>
          <w:szCs w:val="20"/>
          <w:color w:val="auto"/>
        </w:rPr>
      </w:pPr>
      <w:r>
        <w:rPr>
          <w:rFonts w:ascii="Arial" w:cs="Arial" w:eastAsia="Arial" w:hAnsi="Arial"/>
          <w:sz w:val="20"/>
          <w:szCs w:val="20"/>
          <w:color w:val="auto"/>
        </w:rPr>
        <w:t>Subject to Rule 6.3 (</w:t>
      </w:r>
      <w:r>
        <w:rPr>
          <w:rFonts w:ascii="Arial" w:cs="Arial" w:eastAsia="Arial" w:hAnsi="Arial"/>
          <w:sz w:val="20"/>
          <w:szCs w:val="20"/>
          <w:i w:val="1"/>
          <w:iCs w:val="1"/>
          <w:color w:val="auto"/>
        </w:rPr>
        <w:t>Restrictions on Vesting: tax issues</w:t>
      </w:r>
      <w:r>
        <w:rPr>
          <w:rFonts w:ascii="Arial" w:cs="Arial" w:eastAsia="Arial" w:hAnsi="Arial"/>
          <w:sz w:val="20"/>
          <w:szCs w:val="20"/>
          <w:color w:val="auto"/>
        </w:rPr>
        <w:t>), an Award shall Vest (in whole or in part) on the later of:</w:t>
      </w:r>
    </w:p>
    <w:p>
      <w:pPr>
        <w:spacing w:after="0" w:line="202" w:lineRule="exact"/>
        <w:rPr>
          <w:sz w:val="20"/>
          <w:szCs w:val="20"/>
          <w:color w:val="auto"/>
        </w:rPr>
      </w:pPr>
    </w:p>
    <w:p>
      <w:pPr>
        <w:ind w:left="1560" w:hanging="629"/>
        <w:spacing w:after="0" w:line="251" w:lineRule="auto"/>
        <w:tabs>
          <w:tab w:leader="none" w:pos="1560" w:val="left"/>
        </w:tabs>
        <w:numPr>
          <w:ilvl w:val="0"/>
          <w:numId w:val="265"/>
        </w:numPr>
        <w:rPr>
          <w:rFonts w:ascii="Calibri" w:cs="Calibri" w:eastAsia="Calibri" w:hAnsi="Calibri"/>
          <w:sz w:val="18"/>
          <w:szCs w:val="18"/>
          <w:color w:val="auto"/>
        </w:rPr>
      </w:pPr>
      <w:r>
        <w:rPr>
          <w:rFonts w:ascii="Arial" w:cs="Arial" w:eastAsia="Arial" w:hAnsi="Arial"/>
          <w:sz w:val="20"/>
          <w:szCs w:val="20"/>
          <w:color w:val="auto"/>
        </w:rPr>
        <w:t>the date on which the Committee determines whether or not any Performance Condition and any other condition imposed on the Vesting of the Award has been satisfied (in whole or part); and</w:t>
      </w:r>
    </w:p>
    <w:p>
      <w:pPr>
        <w:spacing w:after="0" w:line="174" w:lineRule="exact"/>
        <w:rPr>
          <w:rFonts w:ascii="Calibri" w:cs="Calibri" w:eastAsia="Calibri" w:hAnsi="Calibri"/>
          <w:sz w:val="18"/>
          <w:szCs w:val="18"/>
          <w:color w:val="auto"/>
        </w:rPr>
      </w:pPr>
    </w:p>
    <w:p>
      <w:pPr>
        <w:ind w:left="1560" w:hanging="629"/>
        <w:spacing w:after="0"/>
        <w:tabs>
          <w:tab w:leader="none" w:pos="1560" w:val="left"/>
        </w:tabs>
        <w:numPr>
          <w:ilvl w:val="0"/>
          <w:numId w:val="265"/>
        </w:numPr>
        <w:rPr>
          <w:rFonts w:ascii="Calibri" w:cs="Calibri" w:eastAsia="Calibri" w:hAnsi="Calibri"/>
          <w:sz w:val="18"/>
          <w:szCs w:val="18"/>
          <w:color w:val="auto"/>
        </w:rPr>
      </w:pPr>
      <w:r>
        <w:rPr>
          <w:rFonts w:ascii="Arial" w:cs="Arial" w:eastAsia="Arial" w:hAnsi="Arial"/>
          <w:sz w:val="20"/>
          <w:szCs w:val="20"/>
          <w:color w:val="auto"/>
        </w:rPr>
        <w:t>on such other date as the Committee may determine on or before the grant of the relevant Award,</w:t>
      </w:r>
    </w:p>
    <w:p>
      <w:pPr>
        <w:spacing w:after="0" w:line="196" w:lineRule="exact"/>
        <w:rPr>
          <w:sz w:val="20"/>
          <w:szCs w:val="20"/>
          <w:color w:val="auto"/>
        </w:rPr>
      </w:pPr>
    </w:p>
    <w:p>
      <w:pPr>
        <w:jc w:val="both"/>
        <w:ind w:left="740"/>
        <w:spacing w:after="0" w:line="246" w:lineRule="auto"/>
        <w:rPr>
          <w:sz w:val="20"/>
          <w:szCs w:val="20"/>
          <w:color w:val="auto"/>
        </w:rPr>
      </w:pPr>
      <w:r>
        <w:rPr>
          <w:rFonts w:ascii="Arial" w:cs="Arial" w:eastAsia="Arial" w:hAnsi="Arial"/>
          <w:sz w:val="20"/>
          <w:szCs w:val="20"/>
          <w:color w:val="auto"/>
        </w:rPr>
        <w:t>except where earlier Vesting occurs on an Early Vesting Date under Rule 11.1 or Rule 12 (</w:t>
      </w:r>
      <w:r>
        <w:rPr>
          <w:rFonts w:ascii="Arial" w:cs="Arial" w:eastAsia="Arial" w:hAnsi="Arial"/>
          <w:sz w:val="20"/>
          <w:szCs w:val="20"/>
          <w:i w:val="1"/>
          <w:iCs w:val="1"/>
          <w:color w:val="auto"/>
        </w:rPr>
        <w:t>Takeovers and other</w:t>
      </w:r>
      <w:r>
        <w:rPr>
          <w:rFonts w:ascii="Arial" w:cs="Arial" w:eastAsia="Arial" w:hAnsi="Arial"/>
          <w:sz w:val="20"/>
          <w:szCs w:val="20"/>
          <w:color w:val="auto"/>
        </w:rPr>
        <w:t xml:space="preserve"> </w:t>
      </w:r>
      <w:r>
        <w:rPr>
          <w:rFonts w:ascii="Arial" w:cs="Arial" w:eastAsia="Arial" w:hAnsi="Arial"/>
          <w:sz w:val="20"/>
          <w:szCs w:val="20"/>
          <w:i w:val="1"/>
          <w:iCs w:val="1"/>
          <w:color w:val="auto"/>
        </w:rPr>
        <w:t>corporate events</w:t>
      </w:r>
      <w:r>
        <w:rPr>
          <w:rFonts w:ascii="Arial" w:cs="Arial" w:eastAsia="Arial" w:hAnsi="Arial"/>
          <w:sz w:val="20"/>
          <w:szCs w:val="20"/>
          <w:color w:val="auto"/>
        </w:rPr>
        <w:t>) or where the Committee in its discretion permits earlier Vesting, whether pursuant to a separate</w:t>
      </w:r>
      <w:r>
        <w:rPr>
          <w:rFonts w:ascii="Arial" w:cs="Arial" w:eastAsia="Arial" w:hAnsi="Arial"/>
          <w:sz w:val="20"/>
          <w:szCs w:val="20"/>
          <w:i w:val="1"/>
          <w:iCs w:val="1"/>
          <w:color w:val="auto"/>
        </w:rPr>
        <w:t xml:space="preserve"> </w:t>
      </w:r>
      <w:r>
        <w:rPr>
          <w:rFonts w:ascii="Arial" w:cs="Arial" w:eastAsia="Arial" w:hAnsi="Arial"/>
          <w:sz w:val="20"/>
          <w:szCs w:val="20"/>
          <w:color w:val="auto"/>
        </w:rPr>
        <w:t>written plan or agreement approved by the Committee or otherwise (</w:t>
      </w:r>
      <w:r>
        <w:rPr>
          <w:rFonts w:ascii="Arial" w:cs="Arial" w:eastAsia="Arial" w:hAnsi="Arial"/>
          <w:sz w:val="20"/>
          <w:szCs w:val="20"/>
          <w:b w:val="1"/>
          <w:bCs w:val="1"/>
          <w:color w:val="auto"/>
        </w:rPr>
        <w:t>"Discretionary Vesting"</w:t>
      </w:r>
      <w:r>
        <w:rPr>
          <w:rFonts w:ascii="Arial" w:cs="Arial" w:eastAsia="Arial" w:hAnsi="Arial"/>
          <w:sz w:val="20"/>
          <w:szCs w:val="20"/>
          <w:color w:val="auto"/>
        </w:rPr>
        <w:t>).</w:t>
      </w:r>
    </w:p>
    <w:p>
      <w:pPr>
        <w:spacing w:after="0" w:line="15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6.2</w:t>
      </w:r>
      <w:r>
        <w:rPr>
          <w:sz w:val="20"/>
          <w:szCs w:val="20"/>
          <w:color w:val="auto"/>
        </w:rPr>
        <w:tab/>
      </w:r>
      <w:r>
        <w:rPr>
          <w:rFonts w:ascii="Arial" w:cs="Arial" w:eastAsia="Arial" w:hAnsi="Arial"/>
          <w:sz w:val="19"/>
          <w:szCs w:val="19"/>
          <w:b w:val="1"/>
          <w:bCs w:val="1"/>
          <w:color w:val="auto"/>
        </w:rPr>
        <w:t>Extent of Vesting</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Award shall only Vest to the extent:</w:t>
      </w:r>
    </w:p>
    <w:p>
      <w:pPr>
        <w:spacing w:after="0" w:line="216" w:lineRule="exact"/>
        <w:rPr>
          <w:sz w:val="20"/>
          <w:szCs w:val="20"/>
          <w:color w:val="auto"/>
        </w:rPr>
      </w:pPr>
    </w:p>
    <w:p>
      <w:pPr>
        <w:ind w:left="1560" w:hanging="629"/>
        <w:spacing w:after="0" w:line="251" w:lineRule="auto"/>
        <w:tabs>
          <w:tab w:leader="none" w:pos="1560" w:val="left"/>
        </w:tabs>
        <w:numPr>
          <w:ilvl w:val="0"/>
          <w:numId w:val="266"/>
        </w:numPr>
        <w:rPr>
          <w:rFonts w:ascii="Calibri" w:cs="Calibri" w:eastAsia="Calibri" w:hAnsi="Calibri"/>
          <w:sz w:val="18"/>
          <w:szCs w:val="18"/>
          <w:color w:val="auto"/>
        </w:rPr>
      </w:pPr>
      <w:r>
        <w:rPr>
          <w:rFonts w:ascii="Arial" w:cs="Arial" w:eastAsia="Arial" w:hAnsi="Arial"/>
          <w:sz w:val="20"/>
          <w:szCs w:val="20"/>
          <w:color w:val="auto"/>
        </w:rPr>
        <w:t>that any Performance Condition is satisfied on the Normal Vesting Date or, if appropriate, the Early Vesting Date;</w:t>
      </w:r>
    </w:p>
    <w:p>
      <w:pPr>
        <w:spacing w:after="0" w:line="282" w:lineRule="exact"/>
        <w:rPr>
          <w:rFonts w:ascii="Calibri" w:cs="Calibri" w:eastAsia="Calibri" w:hAnsi="Calibri"/>
          <w:sz w:val="18"/>
          <w:szCs w:val="18"/>
          <w:color w:val="auto"/>
        </w:rPr>
      </w:pPr>
    </w:p>
    <w:p>
      <w:pPr>
        <w:ind w:left="1560" w:hanging="629"/>
        <w:spacing w:after="0" w:line="251" w:lineRule="auto"/>
        <w:tabs>
          <w:tab w:leader="none" w:pos="1560" w:val="left"/>
        </w:tabs>
        <w:numPr>
          <w:ilvl w:val="0"/>
          <w:numId w:val="266"/>
        </w:numPr>
        <w:rPr>
          <w:rFonts w:ascii="Calibri" w:cs="Calibri" w:eastAsia="Calibri" w:hAnsi="Calibri"/>
          <w:sz w:val="18"/>
          <w:szCs w:val="18"/>
          <w:color w:val="auto"/>
        </w:rPr>
      </w:pPr>
      <w:r>
        <w:rPr>
          <w:rFonts w:ascii="Arial" w:cs="Arial" w:eastAsia="Arial" w:hAnsi="Arial"/>
          <w:sz w:val="20"/>
          <w:szCs w:val="20"/>
          <w:color w:val="auto"/>
        </w:rPr>
        <w:t>permitted by any other term imposed on the Vesting of the Award, or pursuant to a separate written plan or agreement approved by the Committee; and</w:t>
      </w:r>
    </w:p>
    <w:p>
      <w:pPr>
        <w:spacing w:after="0" w:line="160" w:lineRule="exact"/>
        <w:rPr>
          <w:rFonts w:ascii="Calibri" w:cs="Calibri" w:eastAsia="Calibri" w:hAnsi="Calibri"/>
          <w:sz w:val="18"/>
          <w:szCs w:val="18"/>
          <w:color w:val="auto"/>
        </w:rPr>
      </w:pPr>
    </w:p>
    <w:p>
      <w:pPr>
        <w:ind w:left="1580" w:hanging="649"/>
        <w:spacing w:after="0"/>
        <w:tabs>
          <w:tab w:leader="none" w:pos="1580" w:val="left"/>
        </w:tabs>
        <w:numPr>
          <w:ilvl w:val="0"/>
          <w:numId w:val="266"/>
        </w:numPr>
        <w:rPr>
          <w:rFonts w:ascii="Calibri" w:cs="Calibri" w:eastAsia="Calibri" w:hAnsi="Calibri"/>
          <w:sz w:val="18"/>
          <w:szCs w:val="18"/>
          <w:color w:val="auto"/>
        </w:rPr>
      </w:pPr>
      <w:r>
        <w:rPr>
          <w:rFonts w:ascii="Arial" w:cs="Arial" w:eastAsia="Arial" w:hAnsi="Arial"/>
          <w:sz w:val="20"/>
          <w:szCs w:val="20"/>
          <w:color w:val="auto"/>
        </w:rPr>
        <w:t>in relation to Vesting before the Normal Vesting Date, as permitted by Rules 11.1 and</w:t>
      </w:r>
    </w:p>
    <w:p>
      <w:pPr>
        <w:spacing w:after="0" w:line="25" w:lineRule="exact"/>
        <w:rPr>
          <w:sz w:val="20"/>
          <w:szCs w:val="20"/>
          <w:color w:val="auto"/>
        </w:rPr>
      </w:pPr>
    </w:p>
    <w:p>
      <w:pPr>
        <w:ind w:left="1380" w:right="60"/>
        <w:spacing w:after="0" w:line="253" w:lineRule="auto"/>
        <w:rPr>
          <w:sz w:val="20"/>
          <w:szCs w:val="20"/>
          <w:color w:val="auto"/>
        </w:rPr>
      </w:pPr>
      <w:r>
        <w:rPr>
          <w:rFonts w:ascii="Arial" w:cs="Arial" w:eastAsia="Arial" w:hAnsi="Arial"/>
          <w:sz w:val="20"/>
          <w:szCs w:val="20"/>
          <w:color w:val="auto"/>
        </w:rPr>
        <w:t>12.5 (</w:t>
      </w:r>
      <w:r>
        <w:rPr>
          <w:rFonts w:ascii="Arial" w:cs="Arial" w:eastAsia="Arial" w:hAnsi="Arial"/>
          <w:sz w:val="20"/>
          <w:szCs w:val="20"/>
          <w:i w:val="1"/>
          <w:iCs w:val="1"/>
          <w:color w:val="auto"/>
        </w:rPr>
        <w:t>Reduction in number of Vested Shares</w:t>
      </w:r>
      <w:r>
        <w:rPr>
          <w:rFonts w:ascii="Arial" w:cs="Arial" w:eastAsia="Arial" w:hAnsi="Arial"/>
          <w:sz w:val="20"/>
          <w:szCs w:val="20"/>
          <w:color w:val="auto"/>
        </w:rPr>
        <w:t>), or, in the case of Discretionary Vesting to the extent determined by the Committee in its discretion.</w:t>
      </w:r>
    </w:p>
    <w:p>
      <w:pPr>
        <w:spacing w:after="0" w:line="132"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Where, under Rule 11.1 or Rule 12 (</w:t>
      </w:r>
      <w:r>
        <w:rPr>
          <w:rFonts w:ascii="Arial" w:cs="Arial" w:eastAsia="Arial" w:hAnsi="Arial"/>
          <w:sz w:val="20"/>
          <w:szCs w:val="20"/>
          <w:i w:val="1"/>
          <w:iCs w:val="1"/>
          <w:color w:val="auto"/>
        </w:rPr>
        <w:t>Takeovers and other corporate events</w:t>
      </w:r>
      <w:r>
        <w:rPr>
          <w:rFonts w:ascii="Arial" w:cs="Arial" w:eastAsia="Arial" w:hAnsi="Arial"/>
          <w:sz w:val="20"/>
          <w:szCs w:val="20"/>
          <w:color w:val="auto"/>
        </w:rPr>
        <w:t>) or in the case of Discretionary Vesting, an Award would (subject to the satisfaction of any Performance Condition) Vest before the end of the full period over which performance would be measured under Performance Condition then, unless provided to the contrary by the Performance Condition, the extent to which the Performance Condition has been satisfied in such circumstances shall be determined by the Committee on such reasonable basis as it decides.</w:t>
      </w:r>
    </w:p>
    <w:p>
      <w:pPr>
        <w:spacing w:after="0" w:line="177"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6.3</w:t>
      </w:r>
      <w:r>
        <w:rPr>
          <w:sz w:val="20"/>
          <w:szCs w:val="20"/>
          <w:color w:val="auto"/>
        </w:rPr>
        <w:tab/>
      </w:r>
      <w:r>
        <w:rPr>
          <w:rFonts w:ascii="Arial" w:cs="Arial" w:eastAsia="Arial" w:hAnsi="Arial"/>
          <w:sz w:val="19"/>
          <w:szCs w:val="19"/>
          <w:b w:val="1"/>
          <w:bCs w:val="1"/>
          <w:color w:val="auto"/>
        </w:rPr>
        <w:t>Restrictions on Vesting: tax issues</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Award shall not Vest unless and until the following conditions are satisfied:</w:t>
      </w:r>
    </w:p>
    <w:p>
      <w:pPr>
        <w:spacing w:after="0" w:line="216" w:lineRule="exact"/>
        <w:rPr>
          <w:sz w:val="20"/>
          <w:szCs w:val="20"/>
          <w:color w:val="auto"/>
        </w:rPr>
      </w:pPr>
    </w:p>
    <w:p>
      <w:pPr>
        <w:jc w:val="both"/>
        <w:ind w:left="1560" w:hanging="629"/>
        <w:spacing w:after="0" w:line="235" w:lineRule="auto"/>
        <w:tabs>
          <w:tab w:leader="none" w:pos="1560" w:val="left"/>
        </w:tabs>
        <w:numPr>
          <w:ilvl w:val="0"/>
          <w:numId w:val="267"/>
        </w:numPr>
        <w:rPr>
          <w:rFonts w:ascii="Calibri" w:cs="Calibri" w:eastAsia="Calibri" w:hAnsi="Calibri"/>
          <w:sz w:val="18"/>
          <w:szCs w:val="18"/>
          <w:color w:val="auto"/>
        </w:rPr>
      </w:pPr>
      <w:r>
        <w:rPr>
          <w:rFonts w:ascii="Arial" w:cs="Arial" w:eastAsia="Arial" w:hAnsi="Arial"/>
          <w:sz w:val="20"/>
          <w:szCs w:val="20"/>
          <w:color w:val="auto"/>
        </w:rPr>
        <w:t>if, on the Vesting of the Award, a Tax Liability would arise by virtue of such Vesting and the Committee decides that such Tax Liability shall not be satisfied by the sale of Shares pursuant to Rule 6.5 (</w:t>
      </w:r>
      <w:r>
        <w:rPr>
          <w:rFonts w:ascii="Arial" w:cs="Arial" w:eastAsia="Arial" w:hAnsi="Arial"/>
          <w:sz w:val="20"/>
          <w:szCs w:val="20"/>
          <w:i w:val="1"/>
          <w:iCs w:val="1"/>
          <w:color w:val="auto"/>
        </w:rPr>
        <w:t>Payment of</w:t>
      </w:r>
      <w:r>
        <w:rPr>
          <w:rFonts w:ascii="Arial" w:cs="Arial" w:eastAsia="Arial" w:hAnsi="Arial"/>
          <w:sz w:val="20"/>
          <w:szCs w:val="20"/>
          <w:color w:val="auto"/>
        </w:rPr>
        <w:t xml:space="preserve"> </w:t>
      </w:r>
      <w:r>
        <w:rPr>
          <w:rFonts w:ascii="Arial" w:cs="Arial" w:eastAsia="Arial" w:hAnsi="Arial"/>
          <w:sz w:val="20"/>
          <w:szCs w:val="20"/>
          <w:i w:val="1"/>
          <w:iCs w:val="1"/>
          <w:color w:val="auto"/>
        </w:rPr>
        <w:t>Tax Liability</w:t>
      </w:r>
      <w:r>
        <w:rPr>
          <w:rFonts w:ascii="Arial" w:cs="Arial" w:eastAsia="Arial" w:hAnsi="Arial"/>
          <w:sz w:val="20"/>
          <w:szCs w:val="20"/>
          <w:color w:val="auto"/>
        </w:rPr>
        <w:t>) then the Participant must have entered into arrangements acceptable to the Committee that the</w:t>
      </w:r>
      <w:r>
        <w:rPr>
          <w:rFonts w:ascii="Arial" w:cs="Arial" w:eastAsia="Arial" w:hAnsi="Arial"/>
          <w:sz w:val="20"/>
          <w:szCs w:val="20"/>
          <w:i w:val="1"/>
          <w:iCs w:val="1"/>
          <w:color w:val="auto"/>
        </w:rPr>
        <w:t xml:space="preserve"> </w:t>
      </w:r>
      <w:r>
        <w:rPr>
          <w:rFonts w:ascii="Arial" w:cs="Arial" w:eastAsia="Arial" w:hAnsi="Arial"/>
          <w:sz w:val="20"/>
          <w:szCs w:val="20"/>
          <w:color w:val="auto"/>
        </w:rPr>
        <w:t>relevant Group Member will receive the amount of such Tax Liability; and</w:t>
      </w:r>
    </w:p>
    <w:p>
      <w:pPr>
        <w:spacing w:after="0" w:line="173" w:lineRule="exact"/>
        <w:rPr>
          <w:rFonts w:ascii="Calibri" w:cs="Calibri" w:eastAsia="Calibri" w:hAnsi="Calibri"/>
          <w:sz w:val="18"/>
          <w:szCs w:val="18"/>
          <w:color w:val="auto"/>
        </w:rPr>
      </w:pPr>
    </w:p>
    <w:p>
      <w:pPr>
        <w:jc w:val="both"/>
        <w:ind w:left="1560" w:hanging="629"/>
        <w:spacing w:after="0" w:line="239" w:lineRule="auto"/>
        <w:tabs>
          <w:tab w:leader="none" w:pos="1560" w:val="left"/>
        </w:tabs>
        <w:numPr>
          <w:ilvl w:val="0"/>
          <w:numId w:val="267"/>
        </w:numPr>
        <w:rPr>
          <w:rFonts w:ascii="Calibri" w:cs="Calibri" w:eastAsia="Calibri" w:hAnsi="Calibri"/>
          <w:sz w:val="18"/>
          <w:szCs w:val="18"/>
          <w:color w:val="auto"/>
        </w:rPr>
      </w:pPr>
      <w:r>
        <w:rPr>
          <w:rFonts w:ascii="Arial" w:cs="Arial" w:eastAsia="Arial" w:hAnsi="Arial"/>
          <w:sz w:val="20"/>
          <w:szCs w:val="20"/>
          <w:color w:val="auto"/>
        </w:rPr>
        <w:t>where the Committee requires, the Participant has entered into, or agreed to enter into, a valid election under Part 7 of ITEPA (</w:t>
      </w:r>
      <w:r>
        <w:rPr>
          <w:rFonts w:ascii="Arial" w:cs="Arial" w:eastAsia="Arial" w:hAnsi="Arial"/>
          <w:sz w:val="20"/>
          <w:szCs w:val="20"/>
          <w:i w:val="1"/>
          <w:iCs w:val="1"/>
          <w:color w:val="auto"/>
        </w:rPr>
        <w:t>Employment income: elections to disapply tax charge on restricted securities</w:t>
      </w:r>
      <w:r>
        <w:rPr>
          <w:rFonts w:ascii="Arial" w:cs="Arial" w:eastAsia="Arial" w:hAnsi="Arial"/>
          <w:sz w:val="20"/>
          <w:szCs w:val="20"/>
          <w:color w:val="auto"/>
        </w:rPr>
        <w:t>) or any similar arrangement in any overseas jurisdiction.</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For the purposes of this Rule 6.3, references to Group Member include any former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4" w:right="459" w:bottom="1440" w:gutter="0" w:footer="0" w:header="0"/>
        </w:sectPr>
      </w:pPr>
    </w:p>
    <w:bookmarkStart w:id="288" w:name="page289"/>
    <w:bookmarkEnd w:id="288"/>
    <w:p>
      <w:pPr>
        <w:jc w:val="both"/>
        <w:ind w:left="740"/>
        <w:spacing w:after="0" w:line="234" w:lineRule="auto"/>
        <w:rPr>
          <w:sz w:val="20"/>
          <w:szCs w:val="20"/>
          <w:color w:val="auto"/>
        </w:rPr>
      </w:pPr>
      <w:r>
        <w:rPr>
          <w:rFonts w:ascii="Arial" w:cs="Arial" w:eastAsia="Arial" w:hAnsi="Arial"/>
          <w:sz w:val="20"/>
          <w:szCs w:val="20"/>
          <w:color w:val="auto"/>
        </w:rPr>
        <w:t>In the case of a Participant who is a US Taxpayer, any delay in the Vesting of an Award for the satisfaction of the conditions in Rule 6.3(a) or (b) shall not delay the distribution of Shares or cash in lieu of Shares beyond the Short-Term Deferral Period in relation to the Award, and if any of those conditions is not satisfied by the end of that Short-Term Deferral Period the Award shall lapse without any further obligation of the Company, the Participant' s employer, or any other Group Member to the Participant with respect thereto.</w:t>
      </w:r>
    </w:p>
    <w:p>
      <w:pPr>
        <w:spacing w:after="0" w:line="177"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6.4</w:t>
      </w:r>
      <w:r>
        <w:rPr>
          <w:sz w:val="20"/>
          <w:szCs w:val="20"/>
          <w:color w:val="auto"/>
        </w:rPr>
        <w:tab/>
      </w:r>
      <w:r>
        <w:rPr>
          <w:rFonts w:ascii="Arial" w:cs="Arial" w:eastAsia="Arial" w:hAnsi="Arial"/>
          <w:sz w:val="19"/>
          <w:szCs w:val="19"/>
          <w:b w:val="1"/>
          <w:bCs w:val="1"/>
          <w:color w:val="auto"/>
        </w:rPr>
        <w:t>Tax Liability before Vesting</w:t>
      </w:r>
    </w:p>
    <w:p>
      <w:pPr>
        <w:spacing w:after="0" w:line="213"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If any Tax Liability will or is likely to arise before the Vesting of an Award then the Participant must enter into arrangements acceptable to any relevant Group Member to ensure that it receives the amount of such Tax Liability. If no such arrangement is made then the Participant shall be deemed to have authorised the Company to sell or procure the sale of sufficient of the Shares subject to his Award on his behalf to ensure that the relevant Group Member receives the amount required to discharge the Tax Liability and the number of Shares subject to his Award shall be reduced accordingly.</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For the purposes of this Rule 6.4, references to Group Member include any former Group Member.</w:t>
      </w:r>
    </w:p>
    <w:p>
      <w:pPr>
        <w:spacing w:after="0" w:line="20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6.5</w:t>
      </w:r>
      <w:r>
        <w:rPr>
          <w:sz w:val="20"/>
          <w:szCs w:val="20"/>
          <w:color w:val="auto"/>
        </w:rPr>
        <w:tab/>
      </w:r>
      <w:r>
        <w:rPr>
          <w:rFonts w:ascii="Arial" w:cs="Arial" w:eastAsia="Arial" w:hAnsi="Arial"/>
          <w:sz w:val="19"/>
          <w:szCs w:val="19"/>
          <w:b w:val="1"/>
          <w:bCs w:val="1"/>
          <w:color w:val="auto"/>
        </w:rPr>
        <w:t>Payment of Tax Liability</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Participant authorises the Company to:</w:t>
      </w:r>
    </w:p>
    <w:p>
      <w:pPr>
        <w:spacing w:after="0" w:line="202" w:lineRule="exact"/>
        <w:rPr>
          <w:sz w:val="20"/>
          <w:szCs w:val="20"/>
          <w:color w:val="auto"/>
        </w:rPr>
      </w:pPr>
    </w:p>
    <w:p>
      <w:pPr>
        <w:jc w:val="both"/>
        <w:ind w:left="1560" w:hanging="629"/>
        <w:spacing w:after="0" w:line="239" w:lineRule="auto"/>
        <w:tabs>
          <w:tab w:leader="none" w:pos="1560" w:val="left"/>
        </w:tabs>
        <w:numPr>
          <w:ilvl w:val="0"/>
          <w:numId w:val="268"/>
        </w:numPr>
        <w:rPr>
          <w:rFonts w:ascii="Calibri" w:cs="Calibri" w:eastAsia="Calibri" w:hAnsi="Calibri"/>
          <w:sz w:val="18"/>
          <w:szCs w:val="18"/>
          <w:color w:val="auto"/>
        </w:rPr>
      </w:pPr>
      <w:r>
        <w:rPr>
          <w:rFonts w:ascii="Arial" w:cs="Arial" w:eastAsia="Arial" w:hAnsi="Arial"/>
          <w:sz w:val="20"/>
          <w:szCs w:val="20"/>
          <w:color w:val="auto"/>
        </w:rPr>
        <w:t>sell or procure the sale of sufficient Vested Shares on or following the Vesting of his Award on his behalf to ensure that any relevant Group Member or former Group Member receives the amount required to discharge the Tax Liability which arises on Vesting; or</w:t>
      </w:r>
    </w:p>
    <w:p>
      <w:pPr>
        <w:spacing w:after="0" w:line="279" w:lineRule="exact"/>
        <w:rPr>
          <w:rFonts w:ascii="Calibri" w:cs="Calibri" w:eastAsia="Calibri" w:hAnsi="Calibri"/>
          <w:sz w:val="18"/>
          <w:szCs w:val="18"/>
          <w:color w:val="auto"/>
        </w:rPr>
      </w:pPr>
    </w:p>
    <w:p>
      <w:pPr>
        <w:jc w:val="both"/>
        <w:ind w:left="1560" w:hanging="629"/>
        <w:spacing w:after="0" w:line="239" w:lineRule="auto"/>
        <w:tabs>
          <w:tab w:leader="none" w:pos="1560" w:val="left"/>
        </w:tabs>
        <w:numPr>
          <w:ilvl w:val="0"/>
          <w:numId w:val="268"/>
        </w:numPr>
        <w:rPr>
          <w:rFonts w:ascii="Calibri" w:cs="Calibri" w:eastAsia="Calibri" w:hAnsi="Calibri"/>
          <w:sz w:val="18"/>
          <w:szCs w:val="18"/>
          <w:color w:val="auto"/>
        </w:rPr>
      </w:pPr>
      <w:r>
        <w:rPr>
          <w:rFonts w:ascii="Arial" w:cs="Arial" w:eastAsia="Arial" w:hAnsi="Arial"/>
          <w:sz w:val="20"/>
          <w:szCs w:val="20"/>
          <w:color w:val="auto"/>
        </w:rPr>
        <w:t>to withhold from the number of Shares deliverable on the Vesting of the Award such number of Shares as has a Fair Market Value on the date the Tax Liability is to be determined equal to the Tax Liability in satisfaction of the Participant' s obligations in relation to that Tax Liability,</w:t>
      </w:r>
    </w:p>
    <w:p>
      <w:pPr>
        <w:spacing w:after="0" w:line="14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except to the extent that the Committee decides that all or part of the Tax Liability shall be funded in a different manner.</w:t>
      </w:r>
    </w:p>
    <w:p>
      <w:pPr>
        <w:spacing w:after="0" w:line="200" w:lineRule="exact"/>
        <w:rPr>
          <w:sz w:val="20"/>
          <w:szCs w:val="20"/>
          <w:color w:val="auto"/>
        </w:rPr>
      </w:pPr>
    </w:p>
    <w:p>
      <w:pPr>
        <w:spacing w:after="0" w:line="399" w:lineRule="exact"/>
        <w:rPr>
          <w:sz w:val="20"/>
          <w:szCs w:val="20"/>
          <w:color w:val="auto"/>
        </w:rPr>
      </w:pPr>
    </w:p>
    <w:p>
      <w:pPr>
        <w:ind w:left="740" w:hanging="647"/>
        <w:spacing w:after="0"/>
        <w:tabs>
          <w:tab w:leader="none" w:pos="740" w:val="left"/>
        </w:tabs>
        <w:numPr>
          <w:ilvl w:val="0"/>
          <w:numId w:val="269"/>
        </w:numPr>
        <w:rPr>
          <w:rFonts w:ascii="Calibri" w:cs="Calibri" w:eastAsia="Calibri" w:hAnsi="Calibri"/>
          <w:sz w:val="20"/>
          <w:szCs w:val="20"/>
          <w:color w:val="auto"/>
        </w:rPr>
      </w:pPr>
      <w:r>
        <w:rPr>
          <w:rFonts w:ascii="Arial" w:cs="Arial" w:eastAsia="Arial" w:hAnsi="Arial"/>
          <w:sz w:val="20"/>
          <w:szCs w:val="20"/>
          <w:b w:val="1"/>
          <w:bCs w:val="1"/>
          <w:color w:val="auto"/>
        </w:rPr>
        <w:t>CONSEQUENCES OF VESTING</w:t>
      </w:r>
    </w:p>
    <w:p>
      <w:pPr>
        <w:spacing w:after="0" w:line="232"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7.1</w:t>
      </w:r>
      <w:r>
        <w:rPr>
          <w:sz w:val="20"/>
          <w:szCs w:val="20"/>
          <w:color w:val="auto"/>
        </w:rPr>
        <w:tab/>
      </w:r>
      <w:r>
        <w:rPr>
          <w:rFonts w:ascii="Arial" w:cs="Arial" w:eastAsia="Arial" w:hAnsi="Arial"/>
          <w:sz w:val="19"/>
          <w:szCs w:val="19"/>
          <w:b w:val="1"/>
          <w:bCs w:val="1"/>
          <w:color w:val="auto"/>
        </w:rPr>
        <w:t>Conditional Awards</w:t>
      </w:r>
    </w:p>
    <w:p>
      <w:pPr>
        <w:spacing w:after="0" w:line="213"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On or as soon as reasonably practicable after the Vesting of a Conditional Award, the Company shall, subject to Rule 6.5 (</w:t>
      </w:r>
      <w:r>
        <w:rPr>
          <w:rFonts w:ascii="Arial" w:cs="Arial" w:eastAsia="Arial" w:hAnsi="Arial"/>
          <w:sz w:val="20"/>
          <w:szCs w:val="20"/>
          <w:i w:val="1"/>
          <w:iCs w:val="1"/>
          <w:color w:val="auto"/>
        </w:rPr>
        <w:t>Payment of Tax Liability</w:t>
      </w:r>
      <w:r>
        <w:rPr>
          <w:rFonts w:ascii="Arial" w:cs="Arial" w:eastAsia="Arial" w:hAnsi="Arial"/>
          <w:sz w:val="20"/>
          <w:szCs w:val="20"/>
          <w:color w:val="auto"/>
        </w:rPr>
        <w:t>) and any arrangement made under Rules 6.3(a) and 6.3(b) (</w:t>
      </w:r>
      <w:r>
        <w:rPr>
          <w:rFonts w:ascii="Arial" w:cs="Arial" w:eastAsia="Arial" w:hAnsi="Arial"/>
          <w:sz w:val="20"/>
          <w:szCs w:val="20"/>
          <w:i w:val="1"/>
          <w:iCs w:val="1"/>
          <w:color w:val="auto"/>
        </w:rPr>
        <w:t>Restrictions on Vesting: tax</w:t>
      </w:r>
      <w:r>
        <w:rPr>
          <w:rFonts w:ascii="Arial" w:cs="Arial" w:eastAsia="Arial" w:hAnsi="Arial"/>
          <w:sz w:val="20"/>
          <w:szCs w:val="20"/>
          <w:color w:val="auto"/>
        </w:rPr>
        <w:t xml:space="preserve"> </w:t>
      </w:r>
      <w:r>
        <w:rPr>
          <w:rFonts w:ascii="Arial" w:cs="Arial" w:eastAsia="Arial" w:hAnsi="Arial"/>
          <w:sz w:val="20"/>
          <w:szCs w:val="20"/>
          <w:i w:val="1"/>
          <w:iCs w:val="1"/>
          <w:color w:val="auto"/>
        </w:rPr>
        <w:t>issues</w:t>
      </w:r>
      <w:r>
        <w:rPr>
          <w:rFonts w:ascii="Arial" w:cs="Arial" w:eastAsia="Arial" w:hAnsi="Arial"/>
          <w:sz w:val="20"/>
          <w:szCs w:val="20"/>
          <w:color w:val="auto"/>
        </w:rPr>
        <w:t>), transfer or procure the transfer of the Vested Shares to the Participant (or a nominee for him).</w:t>
      </w:r>
    </w:p>
    <w:p>
      <w:pPr>
        <w:spacing w:after="0" w:line="173"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7.2</w:t>
      </w:r>
      <w:r>
        <w:rPr>
          <w:sz w:val="20"/>
          <w:szCs w:val="20"/>
          <w:color w:val="auto"/>
        </w:rPr>
        <w:tab/>
      </w:r>
      <w:r>
        <w:rPr>
          <w:rFonts w:ascii="Arial" w:cs="Arial" w:eastAsia="Arial" w:hAnsi="Arial"/>
          <w:sz w:val="19"/>
          <w:szCs w:val="19"/>
          <w:b w:val="1"/>
          <w:bCs w:val="1"/>
          <w:color w:val="auto"/>
        </w:rPr>
        <w:t>Options</w:t>
      </w:r>
    </w:p>
    <w:p>
      <w:pPr>
        <w:spacing w:after="0" w:line="227"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20"/>
          <w:szCs w:val="20"/>
          <w:color w:val="auto"/>
        </w:rPr>
        <w:t>An Option shall, subject to Rule 8.1 (</w:t>
      </w:r>
      <w:r>
        <w:rPr>
          <w:rFonts w:ascii="Arial" w:cs="Arial" w:eastAsia="Arial" w:hAnsi="Arial"/>
          <w:sz w:val="20"/>
          <w:szCs w:val="20"/>
          <w:i w:val="1"/>
          <w:iCs w:val="1"/>
          <w:color w:val="auto"/>
        </w:rPr>
        <w:t>Restrictions on the exercise of an Option: regulatory and tax issues</w:t>
      </w:r>
      <w:r>
        <w:rPr>
          <w:rFonts w:ascii="Arial" w:cs="Arial" w:eastAsia="Arial" w:hAnsi="Arial"/>
          <w:sz w:val="20"/>
          <w:szCs w:val="20"/>
          <w:color w:val="auto"/>
        </w:rPr>
        <w:t>), be exercisable in respect of Vested Shares at any time prior to:</w:t>
      </w:r>
    </w:p>
    <w:p>
      <w:pPr>
        <w:spacing w:after="0" w:line="155" w:lineRule="exact"/>
        <w:rPr>
          <w:sz w:val="20"/>
          <w:szCs w:val="20"/>
          <w:color w:val="auto"/>
        </w:rPr>
      </w:pPr>
    </w:p>
    <w:p>
      <w:pPr>
        <w:ind w:left="1400" w:hanging="648"/>
        <w:spacing w:after="0"/>
        <w:tabs>
          <w:tab w:leader="none" w:pos="1400" w:val="left"/>
        </w:tabs>
        <w:numPr>
          <w:ilvl w:val="0"/>
          <w:numId w:val="270"/>
        </w:numPr>
        <w:rPr>
          <w:rFonts w:ascii="Calibri" w:cs="Calibri" w:eastAsia="Calibri" w:hAnsi="Calibri"/>
          <w:sz w:val="18"/>
          <w:szCs w:val="18"/>
          <w:color w:val="auto"/>
        </w:rPr>
      </w:pPr>
      <w:r>
        <w:rPr>
          <w:rFonts w:ascii="Arial" w:cs="Arial" w:eastAsia="Arial" w:hAnsi="Arial"/>
          <w:sz w:val="20"/>
          <w:szCs w:val="20"/>
          <w:color w:val="auto"/>
        </w:rPr>
        <w:t>in relation to a Regular Option, the tenth anniversary of the Grant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4" w:right="459" w:bottom="1440" w:gutter="0" w:footer="0" w:header="0"/>
        </w:sectPr>
      </w:pPr>
    </w:p>
    <w:bookmarkStart w:id="289" w:name="page290"/>
    <w:bookmarkEnd w:id="289"/>
    <w:p>
      <w:pPr>
        <w:spacing w:after="0" w:line="204" w:lineRule="exact"/>
        <w:rPr>
          <w:sz w:val="20"/>
          <w:szCs w:val="20"/>
          <w:color w:val="auto"/>
        </w:rPr>
      </w:pPr>
    </w:p>
    <w:p>
      <w:pPr>
        <w:ind w:left="740" w:right="800" w:firstLine="12"/>
        <w:spacing w:after="0" w:line="431" w:lineRule="auto"/>
        <w:tabs>
          <w:tab w:leader="none" w:pos="1387" w:val="left"/>
        </w:tabs>
        <w:numPr>
          <w:ilvl w:val="0"/>
          <w:numId w:val="271"/>
        </w:numPr>
        <w:rPr>
          <w:rFonts w:ascii="Calibri" w:cs="Calibri" w:eastAsia="Calibri" w:hAnsi="Calibri"/>
          <w:sz w:val="18"/>
          <w:szCs w:val="18"/>
          <w:color w:val="auto"/>
        </w:rPr>
      </w:pPr>
      <w:r>
        <w:rPr>
          <w:rFonts w:ascii="Arial" w:cs="Arial" w:eastAsia="Arial" w:hAnsi="Arial"/>
          <w:sz w:val="20"/>
          <w:szCs w:val="20"/>
          <w:color w:val="auto"/>
        </w:rPr>
        <w:t>in relation to a Short-Term Option, the end of the Short-Term Deferral Period in relation to that Option, unless, in each case, it otherwise lapses earlier in accordance with the Rules of the Plan.</w:t>
      </w:r>
    </w:p>
    <w:p>
      <w:pPr>
        <w:ind w:left="740" w:right="20" w:firstLine="7"/>
        <w:spacing w:after="0" w:line="257" w:lineRule="auto"/>
        <w:rPr>
          <w:sz w:val="20"/>
          <w:szCs w:val="20"/>
          <w:color w:val="auto"/>
        </w:rPr>
      </w:pPr>
      <w:r>
        <w:rPr>
          <w:rFonts w:ascii="Arial" w:cs="Arial" w:eastAsia="Arial" w:hAnsi="Arial"/>
          <w:sz w:val="20"/>
          <w:szCs w:val="20"/>
          <w:color w:val="auto"/>
        </w:rPr>
        <w:t>An RSU-style Option shall be automatically exercised upon Vesting in accordance with the provisions of Rule 8.4 (</w:t>
      </w:r>
      <w:r>
        <w:rPr>
          <w:rFonts w:ascii="Arial" w:cs="Arial" w:eastAsia="Arial" w:hAnsi="Arial"/>
          <w:sz w:val="20"/>
          <w:szCs w:val="20"/>
          <w:i w:val="1"/>
          <w:iCs w:val="1"/>
          <w:color w:val="auto"/>
        </w:rPr>
        <w:t>Method of exercise: RSU-style Option</w:t>
      </w:r>
      <w:r>
        <w:rPr>
          <w:rFonts w:ascii="Arial" w:cs="Arial" w:eastAsia="Arial" w:hAnsi="Arial"/>
          <w:sz w:val="20"/>
          <w:szCs w:val="20"/>
          <w:color w:val="auto"/>
        </w:rPr>
        <w:t>) and therefore there is no period where the Participant may exercise it.</w:t>
      </w:r>
    </w:p>
    <w:p>
      <w:pPr>
        <w:spacing w:after="0" w:line="194" w:lineRule="exact"/>
        <w:rPr>
          <w:sz w:val="20"/>
          <w:szCs w:val="20"/>
          <w:color w:val="auto"/>
        </w:rPr>
      </w:pPr>
    </w:p>
    <w:p>
      <w:pPr>
        <w:ind w:left="740" w:hanging="647"/>
        <w:spacing w:after="0"/>
        <w:tabs>
          <w:tab w:leader="none" w:pos="740" w:val="left"/>
        </w:tabs>
        <w:numPr>
          <w:ilvl w:val="0"/>
          <w:numId w:val="272"/>
        </w:numPr>
        <w:rPr>
          <w:rFonts w:ascii="Calibri" w:cs="Calibri" w:eastAsia="Calibri" w:hAnsi="Calibri"/>
          <w:sz w:val="20"/>
          <w:szCs w:val="20"/>
          <w:color w:val="auto"/>
        </w:rPr>
      </w:pPr>
      <w:r>
        <w:rPr>
          <w:rFonts w:ascii="Arial" w:cs="Arial" w:eastAsia="Arial" w:hAnsi="Arial"/>
          <w:sz w:val="20"/>
          <w:szCs w:val="20"/>
          <w:b w:val="1"/>
          <w:bCs w:val="1"/>
          <w:color w:val="auto"/>
        </w:rPr>
        <w:t>EXERCISE OF OPTIONS</w:t>
      </w:r>
    </w:p>
    <w:p>
      <w:pPr>
        <w:spacing w:after="0" w:line="232"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8.1</w:t>
      </w:r>
      <w:r>
        <w:rPr>
          <w:sz w:val="20"/>
          <w:szCs w:val="20"/>
          <w:color w:val="auto"/>
        </w:rPr>
        <w:tab/>
      </w:r>
      <w:r>
        <w:rPr>
          <w:rFonts w:ascii="Arial" w:cs="Arial" w:eastAsia="Arial" w:hAnsi="Arial"/>
          <w:sz w:val="19"/>
          <w:szCs w:val="19"/>
          <w:b w:val="1"/>
          <w:bCs w:val="1"/>
          <w:color w:val="auto"/>
        </w:rPr>
        <w:t>Restrictions on the exercise of an Option: regulatory and tax issues</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Option which has Vested may not be exercised unless the following conditions are satisfied:</w:t>
      </w:r>
    </w:p>
    <w:p>
      <w:pPr>
        <w:spacing w:after="0" w:line="202" w:lineRule="exact"/>
        <w:rPr>
          <w:sz w:val="20"/>
          <w:szCs w:val="20"/>
          <w:color w:val="auto"/>
        </w:rPr>
      </w:pPr>
    </w:p>
    <w:p>
      <w:pPr>
        <w:jc w:val="both"/>
        <w:ind w:left="1380" w:hanging="628"/>
        <w:spacing w:after="0" w:line="235" w:lineRule="auto"/>
        <w:tabs>
          <w:tab w:leader="none" w:pos="1380" w:val="left"/>
        </w:tabs>
        <w:numPr>
          <w:ilvl w:val="0"/>
          <w:numId w:val="273"/>
        </w:numPr>
        <w:rPr>
          <w:rFonts w:ascii="Calibri" w:cs="Calibri" w:eastAsia="Calibri" w:hAnsi="Calibri"/>
          <w:sz w:val="18"/>
          <w:szCs w:val="18"/>
          <w:color w:val="auto"/>
        </w:rPr>
      </w:pPr>
      <w:r>
        <w:rPr>
          <w:rFonts w:ascii="Arial" w:cs="Arial" w:eastAsia="Arial" w:hAnsi="Arial"/>
          <w:sz w:val="20"/>
          <w:szCs w:val="20"/>
          <w:color w:val="auto"/>
        </w:rPr>
        <w:t>the exercise of the Option and the issue or transfer of Shares after such exercise would be lawful in all relevant jurisdictions and in compliance with any applicable rules of any exchange on which Shares or securities of the Company are listed or traded, any relevant share dealing code of the Company, the City Code on Takeovers and Mergers and any other relevant UK or overseas regulation or enactment;</w:t>
      </w:r>
    </w:p>
    <w:p>
      <w:pPr>
        <w:spacing w:after="0" w:line="173" w:lineRule="exact"/>
        <w:rPr>
          <w:rFonts w:ascii="Calibri" w:cs="Calibri" w:eastAsia="Calibri" w:hAnsi="Calibri"/>
          <w:sz w:val="18"/>
          <w:szCs w:val="18"/>
          <w:color w:val="auto"/>
        </w:rPr>
      </w:pPr>
    </w:p>
    <w:p>
      <w:pPr>
        <w:jc w:val="both"/>
        <w:ind w:left="1380" w:hanging="628"/>
        <w:spacing w:after="0" w:line="235" w:lineRule="auto"/>
        <w:tabs>
          <w:tab w:leader="none" w:pos="1380" w:val="left"/>
        </w:tabs>
        <w:numPr>
          <w:ilvl w:val="0"/>
          <w:numId w:val="273"/>
        </w:numPr>
        <w:rPr>
          <w:rFonts w:ascii="Calibri" w:cs="Calibri" w:eastAsia="Calibri" w:hAnsi="Calibri"/>
          <w:sz w:val="18"/>
          <w:szCs w:val="18"/>
          <w:color w:val="auto"/>
        </w:rPr>
      </w:pPr>
      <w:r>
        <w:rPr>
          <w:rFonts w:ascii="Arial" w:cs="Arial" w:eastAsia="Arial" w:hAnsi="Arial"/>
          <w:sz w:val="20"/>
          <w:szCs w:val="20"/>
          <w:color w:val="auto"/>
        </w:rPr>
        <w:t>if, on the exercise of the Option, a Tax Liability would arise by virtue of such exercise and the Committee decides that such Tax Liability shall not be satisfied by the sale of Shares pursuant to Rule 8.5 (</w:t>
      </w:r>
      <w:r>
        <w:rPr>
          <w:rFonts w:ascii="Arial" w:cs="Arial" w:eastAsia="Arial" w:hAnsi="Arial"/>
          <w:sz w:val="20"/>
          <w:szCs w:val="20"/>
          <w:i w:val="1"/>
          <w:iCs w:val="1"/>
          <w:color w:val="auto"/>
        </w:rPr>
        <w:t>Payment of</w:t>
      </w:r>
      <w:r>
        <w:rPr>
          <w:rFonts w:ascii="Arial" w:cs="Arial" w:eastAsia="Arial" w:hAnsi="Arial"/>
          <w:sz w:val="20"/>
          <w:szCs w:val="20"/>
          <w:color w:val="auto"/>
        </w:rPr>
        <w:t xml:space="preserve"> </w:t>
      </w:r>
      <w:r>
        <w:rPr>
          <w:rFonts w:ascii="Arial" w:cs="Arial" w:eastAsia="Arial" w:hAnsi="Arial"/>
          <w:sz w:val="20"/>
          <w:szCs w:val="20"/>
          <w:i w:val="1"/>
          <w:iCs w:val="1"/>
          <w:color w:val="auto"/>
        </w:rPr>
        <w:t>Tax Liability</w:t>
      </w:r>
      <w:r>
        <w:rPr>
          <w:rFonts w:ascii="Arial" w:cs="Arial" w:eastAsia="Arial" w:hAnsi="Arial"/>
          <w:sz w:val="20"/>
          <w:szCs w:val="20"/>
          <w:color w:val="auto"/>
        </w:rPr>
        <w:t>) then the Participant must have entered into arrangements acceptable to the Committee that the</w:t>
      </w:r>
      <w:r>
        <w:rPr>
          <w:rFonts w:ascii="Arial" w:cs="Arial" w:eastAsia="Arial" w:hAnsi="Arial"/>
          <w:sz w:val="20"/>
          <w:szCs w:val="20"/>
          <w:i w:val="1"/>
          <w:iCs w:val="1"/>
          <w:color w:val="auto"/>
        </w:rPr>
        <w:t xml:space="preserve"> </w:t>
      </w:r>
      <w:r>
        <w:rPr>
          <w:rFonts w:ascii="Arial" w:cs="Arial" w:eastAsia="Arial" w:hAnsi="Arial"/>
          <w:sz w:val="20"/>
          <w:szCs w:val="20"/>
          <w:color w:val="auto"/>
        </w:rPr>
        <w:t>relevant Group Member will receive the amount of such Tax Liability; and</w:t>
      </w:r>
    </w:p>
    <w:p>
      <w:pPr>
        <w:spacing w:after="0" w:line="186"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273"/>
        </w:numPr>
        <w:rPr>
          <w:rFonts w:ascii="Calibri" w:cs="Calibri" w:eastAsia="Calibri" w:hAnsi="Calibri"/>
          <w:sz w:val="18"/>
          <w:szCs w:val="18"/>
          <w:color w:val="auto"/>
        </w:rPr>
      </w:pPr>
      <w:r>
        <w:rPr>
          <w:rFonts w:ascii="Arial" w:cs="Arial" w:eastAsia="Arial" w:hAnsi="Arial"/>
          <w:sz w:val="20"/>
          <w:szCs w:val="20"/>
          <w:color w:val="auto"/>
        </w:rPr>
        <w:t>where the Committee requires, the Participant has entered into, or agreed to enter into, a valid election under Chapter 2, Part 7, ITEPA (</w:t>
      </w:r>
      <w:r>
        <w:rPr>
          <w:rFonts w:ascii="Arial" w:cs="Arial" w:eastAsia="Arial" w:hAnsi="Arial"/>
          <w:sz w:val="20"/>
          <w:szCs w:val="20"/>
          <w:i w:val="1"/>
          <w:iCs w:val="1"/>
          <w:color w:val="auto"/>
        </w:rPr>
        <w:t>Employment income: elections to disapply tax charge on restricted securities</w:t>
      </w:r>
      <w:r>
        <w:rPr>
          <w:rFonts w:ascii="Arial" w:cs="Arial" w:eastAsia="Arial" w:hAnsi="Arial"/>
          <w:sz w:val="20"/>
          <w:szCs w:val="20"/>
          <w:color w:val="auto"/>
        </w:rPr>
        <w:t>) or any similar arrangement in any overseas jurisdiction.</w:t>
      </w:r>
    </w:p>
    <w:p>
      <w:pPr>
        <w:spacing w:after="0" w:line="144"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In no event shall any restrictions under this Rule 8.1 on the exercise of a Vested Option extend the Exercise Period beyond the limit of Rule 7.2(a) (for a Regular Option) and Rule 7.2(b) (for a Short-Term Option). For the purposes of this Rule 8.1, references to Group Member include any former Group Member.</w:t>
      </w:r>
    </w:p>
    <w:p>
      <w:pPr>
        <w:spacing w:after="0" w:line="15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8.2</w:t>
      </w:r>
      <w:r>
        <w:rPr>
          <w:sz w:val="20"/>
          <w:szCs w:val="20"/>
          <w:color w:val="auto"/>
        </w:rPr>
        <w:tab/>
      </w:r>
      <w:r>
        <w:rPr>
          <w:rFonts w:ascii="Arial" w:cs="Arial" w:eastAsia="Arial" w:hAnsi="Arial"/>
          <w:sz w:val="19"/>
          <w:szCs w:val="19"/>
          <w:b w:val="1"/>
          <w:bCs w:val="1"/>
          <w:color w:val="auto"/>
        </w:rPr>
        <w:t>Exercise in whole or part</w:t>
      </w:r>
    </w:p>
    <w:p>
      <w:pPr>
        <w:spacing w:after="0" w:line="227"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An Option must be exercised over at least 100 Shares on any occasion unless the Committee decides that a Participant may exercise the Option in respect of such fewer number of Shares as it decides or there are fewer than 100 Shares (or such other number as the Committee may decide) in respect of which the Option may be exercised at the relevant time, in which case the Option must be exercised to the maximum extent possible at that time.</w:t>
      </w:r>
    </w:p>
    <w:p>
      <w:pPr>
        <w:spacing w:after="0" w:line="16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8.3</w:t>
      </w:r>
      <w:r>
        <w:rPr>
          <w:sz w:val="20"/>
          <w:szCs w:val="20"/>
          <w:color w:val="auto"/>
        </w:rPr>
        <w:tab/>
      </w:r>
      <w:r>
        <w:rPr>
          <w:rFonts w:ascii="Arial" w:cs="Arial" w:eastAsia="Arial" w:hAnsi="Arial"/>
          <w:sz w:val="19"/>
          <w:szCs w:val="19"/>
          <w:b w:val="1"/>
          <w:bCs w:val="1"/>
          <w:color w:val="auto"/>
        </w:rPr>
        <w:t>Method of exercise: Options other than RSU-style Options</w:t>
      </w:r>
    </w:p>
    <w:p>
      <w:pPr>
        <w:spacing w:after="0" w:line="240"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The exercise of any Option other than an RSU-style Option shall be effected in the form and manner prescribed by the Committee. Unless the Committee, acting fairly and reasonably determines otherwise, any notice of exercise shall, subject to Rule 8.1 (</w:t>
      </w:r>
      <w:r>
        <w:rPr>
          <w:rFonts w:ascii="Arial" w:cs="Arial" w:eastAsia="Arial" w:hAnsi="Arial"/>
          <w:sz w:val="20"/>
          <w:szCs w:val="20"/>
          <w:i w:val="1"/>
          <w:iCs w:val="1"/>
          <w:color w:val="auto"/>
        </w:rPr>
        <w:t>Restrictions on the exercise of an Option: regulatory and tax issues</w:t>
      </w:r>
      <w:r>
        <w:rPr>
          <w:rFonts w:ascii="Arial" w:cs="Arial" w:eastAsia="Arial" w:hAnsi="Arial"/>
          <w:sz w:val="20"/>
          <w:szCs w:val="20"/>
          <w:color w:val="auto"/>
        </w:rPr>
        <w:t>), take effect only when the Company receives it, together with payment of any relevant Option Price (unless other arrangements have entered into acceptable to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215265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90" w:name="page291"/>
    <w:bookmarkEnd w:id="290"/>
    <w:p>
      <w:pPr>
        <w:jc w:val="both"/>
        <w:ind w:left="740"/>
        <w:spacing w:after="0" w:line="257" w:lineRule="auto"/>
        <w:rPr>
          <w:sz w:val="20"/>
          <w:szCs w:val="20"/>
          <w:color w:val="auto"/>
        </w:rPr>
      </w:pPr>
      <w:r>
        <w:rPr>
          <w:rFonts w:ascii="Arial" w:cs="Arial" w:eastAsia="Arial" w:hAnsi="Arial"/>
          <w:sz w:val="20"/>
          <w:szCs w:val="20"/>
          <w:color w:val="auto"/>
        </w:rPr>
        <w:t>Committee including, if the Committee so permits, an undertaking to pay that amount,). An RSU-style Option shall be automatically exercised in accordance with the provisions of Rule 8.4.</w:t>
      </w:r>
    </w:p>
    <w:p>
      <w:pPr>
        <w:spacing w:after="0" w:line="13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8.4</w:t>
      </w:r>
      <w:r>
        <w:rPr>
          <w:sz w:val="20"/>
          <w:szCs w:val="20"/>
          <w:color w:val="auto"/>
        </w:rPr>
        <w:tab/>
      </w:r>
      <w:r>
        <w:rPr>
          <w:rFonts w:ascii="Arial" w:cs="Arial" w:eastAsia="Arial" w:hAnsi="Arial"/>
          <w:sz w:val="19"/>
          <w:szCs w:val="19"/>
          <w:b w:val="1"/>
          <w:bCs w:val="1"/>
          <w:color w:val="auto"/>
        </w:rPr>
        <w:t>Method of exercise: RSU-style Options</w:t>
      </w:r>
    </w:p>
    <w:p>
      <w:pPr>
        <w:spacing w:after="0" w:line="213"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An RSU-style Option shall be automatically exercised to the full extent of the Vested Shares on the day it becomes exercisable in relation to those Vested Shares (taking account of any restrictions on exercise pursuant to Rule 8.1), and the Participant' s undertaking to pay the Option Price shall satisfy the obligation to pay the Option Price. By accepting the RSU-style Option the Participant shall:</w:t>
      </w:r>
    </w:p>
    <w:p>
      <w:pPr>
        <w:spacing w:after="0" w:line="239" w:lineRule="exact"/>
        <w:rPr>
          <w:sz w:val="20"/>
          <w:szCs w:val="20"/>
          <w:color w:val="auto"/>
        </w:rPr>
      </w:pPr>
    </w:p>
    <w:p>
      <w:pPr>
        <w:jc w:val="both"/>
        <w:ind w:left="1380" w:hanging="628"/>
        <w:spacing w:after="0" w:line="239" w:lineRule="auto"/>
        <w:tabs>
          <w:tab w:leader="none" w:pos="1380" w:val="left"/>
        </w:tabs>
        <w:numPr>
          <w:ilvl w:val="0"/>
          <w:numId w:val="274"/>
        </w:numPr>
        <w:rPr>
          <w:rFonts w:ascii="Calibri" w:cs="Calibri" w:eastAsia="Calibri" w:hAnsi="Calibri"/>
          <w:sz w:val="18"/>
          <w:szCs w:val="18"/>
          <w:color w:val="auto"/>
        </w:rPr>
      </w:pPr>
      <w:r>
        <w:rPr>
          <w:rFonts w:ascii="Arial" w:cs="Arial" w:eastAsia="Arial" w:hAnsi="Arial"/>
          <w:sz w:val="20"/>
          <w:szCs w:val="20"/>
          <w:color w:val="auto"/>
        </w:rPr>
        <w:t>authorise the Company to sell or procure the sale of sufficient Vested Shares on or following exercise of his RSU-style Option on his behalf to ensure that the Company receives the amount required to discharge that undertaking to pay (and authorises the Company to apply that amount in discharging the undertaking);</w:t>
      </w:r>
    </w:p>
    <w:p>
      <w:pPr>
        <w:spacing w:after="0" w:line="184"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274"/>
        </w:numPr>
        <w:rPr>
          <w:rFonts w:ascii="Calibri" w:cs="Calibri" w:eastAsia="Calibri" w:hAnsi="Calibri"/>
          <w:sz w:val="18"/>
          <w:szCs w:val="18"/>
          <w:color w:val="auto"/>
        </w:rPr>
      </w:pPr>
      <w:r>
        <w:rPr>
          <w:rFonts w:ascii="Arial" w:cs="Arial" w:eastAsia="Arial" w:hAnsi="Arial"/>
          <w:sz w:val="20"/>
          <w:szCs w:val="20"/>
          <w:color w:val="auto"/>
        </w:rPr>
        <w:t>if the Company does not so sell or procure the sale of Vested Shares, authorise the Company to recover a sufficient amount to discharge the undertaking to pay from any amounts payable to the Participant by any Group Member whether by way of salary or otherwise; and</w:t>
      </w:r>
    </w:p>
    <w:p>
      <w:pPr>
        <w:spacing w:after="0" w:line="171" w:lineRule="exact"/>
        <w:rPr>
          <w:rFonts w:ascii="Calibri" w:cs="Calibri" w:eastAsia="Calibri" w:hAnsi="Calibri"/>
          <w:sz w:val="18"/>
          <w:szCs w:val="18"/>
          <w:color w:val="auto"/>
        </w:rPr>
      </w:pPr>
    </w:p>
    <w:p>
      <w:pPr>
        <w:ind w:left="1380" w:right="20" w:hanging="628"/>
        <w:spacing w:after="0" w:line="251" w:lineRule="auto"/>
        <w:tabs>
          <w:tab w:leader="none" w:pos="1380" w:val="left"/>
        </w:tabs>
        <w:numPr>
          <w:ilvl w:val="0"/>
          <w:numId w:val="274"/>
        </w:numPr>
        <w:rPr>
          <w:rFonts w:ascii="Calibri" w:cs="Calibri" w:eastAsia="Calibri" w:hAnsi="Calibri"/>
          <w:sz w:val="18"/>
          <w:szCs w:val="18"/>
          <w:color w:val="auto"/>
        </w:rPr>
      </w:pPr>
      <w:r>
        <w:rPr>
          <w:rFonts w:ascii="Arial" w:cs="Arial" w:eastAsia="Arial" w:hAnsi="Arial"/>
          <w:sz w:val="20"/>
          <w:szCs w:val="20"/>
          <w:color w:val="auto"/>
        </w:rPr>
        <w:t>otherwise agree to be bound by all provisions of the Plan in relation to the RSU-style Option, including, without limitation, in relation to its exercise.</w:t>
      </w:r>
    </w:p>
    <w:p>
      <w:pPr>
        <w:spacing w:after="0" w:line="14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8.5</w:t>
      </w:r>
      <w:r>
        <w:rPr>
          <w:sz w:val="20"/>
          <w:szCs w:val="20"/>
          <w:color w:val="auto"/>
        </w:rPr>
        <w:tab/>
      </w:r>
      <w:r>
        <w:rPr>
          <w:rFonts w:ascii="Arial" w:cs="Arial" w:eastAsia="Arial" w:hAnsi="Arial"/>
          <w:sz w:val="19"/>
          <w:szCs w:val="19"/>
          <w:b w:val="1"/>
          <w:bCs w:val="1"/>
          <w:color w:val="auto"/>
        </w:rPr>
        <w:t>Payment of Tax Liability</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Participant authorises the Company to:</w:t>
      </w:r>
    </w:p>
    <w:p>
      <w:pPr>
        <w:spacing w:after="0" w:line="216" w:lineRule="exact"/>
        <w:rPr>
          <w:sz w:val="20"/>
          <w:szCs w:val="20"/>
          <w:color w:val="auto"/>
        </w:rPr>
      </w:pPr>
    </w:p>
    <w:p>
      <w:pPr>
        <w:jc w:val="both"/>
        <w:ind w:left="1380" w:hanging="628"/>
        <w:spacing w:after="0" w:line="239" w:lineRule="auto"/>
        <w:tabs>
          <w:tab w:leader="none" w:pos="1380" w:val="left"/>
        </w:tabs>
        <w:numPr>
          <w:ilvl w:val="0"/>
          <w:numId w:val="275"/>
        </w:numPr>
        <w:rPr>
          <w:rFonts w:ascii="Calibri" w:cs="Calibri" w:eastAsia="Calibri" w:hAnsi="Calibri"/>
          <w:sz w:val="18"/>
          <w:szCs w:val="18"/>
          <w:color w:val="auto"/>
        </w:rPr>
      </w:pPr>
      <w:r>
        <w:rPr>
          <w:rFonts w:ascii="Arial" w:cs="Arial" w:eastAsia="Arial" w:hAnsi="Arial"/>
          <w:sz w:val="20"/>
          <w:szCs w:val="20"/>
          <w:color w:val="auto"/>
        </w:rPr>
        <w:t>sell or procure the sale of sufficient Vested Shares on or following exercise of his Option on his behalf to ensure that any relevant Group Member receives the amount required to discharge the Tax Liability which arises on such exercise; or</w:t>
      </w:r>
    </w:p>
    <w:p>
      <w:pPr>
        <w:spacing w:after="0" w:line="171"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275"/>
        </w:numPr>
        <w:rPr>
          <w:rFonts w:ascii="Calibri" w:cs="Calibri" w:eastAsia="Calibri" w:hAnsi="Calibri"/>
          <w:sz w:val="18"/>
          <w:szCs w:val="18"/>
          <w:color w:val="auto"/>
        </w:rPr>
      </w:pPr>
      <w:r>
        <w:rPr>
          <w:rFonts w:ascii="Arial" w:cs="Arial" w:eastAsia="Arial" w:hAnsi="Arial"/>
          <w:sz w:val="20"/>
          <w:szCs w:val="20"/>
          <w:color w:val="auto"/>
        </w:rPr>
        <w:t>to withhold from the number of Shares deliverable on exercise of the Option such number of Shares as has a Fair Market Value on the date the Tax Liability is to be determined equal to the Tax Liability in satisfaction of the Participant' s obligations in relation to that Tax Liability,</w:t>
      </w:r>
    </w:p>
    <w:p>
      <w:pPr>
        <w:spacing w:after="0" w:line="158"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except to the extent that he and the Company agree that all or part of the Tax Liability is to be funded in a different manner.</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8.6</w:t>
      </w:r>
      <w:r>
        <w:rPr>
          <w:sz w:val="20"/>
          <w:szCs w:val="20"/>
          <w:color w:val="auto"/>
        </w:rPr>
        <w:tab/>
      </w:r>
      <w:r>
        <w:rPr>
          <w:rFonts w:ascii="Arial" w:cs="Arial" w:eastAsia="Arial" w:hAnsi="Arial"/>
          <w:sz w:val="19"/>
          <w:szCs w:val="19"/>
          <w:b w:val="1"/>
          <w:bCs w:val="1"/>
          <w:color w:val="auto"/>
        </w:rPr>
        <w:t>Transfer or allotment timetable</w:t>
      </w:r>
    </w:p>
    <w:p>
      <w:pPr>
        <w:spacing w:after="0" w:line="227"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As soon as reasonably practicable after an Option has been exercised, the Company shall, subject to Rule 8.5 (</w:t>
      </w:r>
      <w:r>
        <w:rPr>
          <w:rFonts w:ascii="Arial" w:cs="Arial" w:eastAsia="Arial" w:hAnsi="Arial"/>
          <w:sz w:val="20"/>
          <w:szCs w:val="20"/>
          <w:i w:val="1"/>
          <w:iCs w:val="1"/>
          <w:color w:val="auto"/>
        </w:rPr>
        <w:t>Payment of Tax Liability</w:t>
      </w:r>
      <w:r>
        <w:rPr>
          <w:rFonts w:ascii="Arial" w:cs="Arial" w:eastAsia="Arial" w:hAnsi="Arial"/>
          <w:sz w:val="20"/>
          <w:szCs w:val="20"/>
          <w:color w:val="auto"/>
        </w:rPr>
        <w:t>) and any arrangement made under Rules 8.1(b) and 8.1(c) (</w:t>
      </w:r>
      <w:r>
        <w:rPr>
          <w:rFonts w:ascii="Arial" w:cs="Arial" w:eastAsia="Arial" w:hAnsi="Arial"/>
          <w:sz w:val="20"/>
          <w:szCs w:val="20"/>
          <w:i w:val="1"/>
          <w:iCs w:val="1"/>
          <w:color w:val="auto"/>
        </w:rPr>
        <w:t>Restrictions on exercise:</w:t>
      </w:r>
      <w:r>
        <w:rPr>
          <w:rFonts w:ascii="Arial" w:cs="Arial" w:eastAsia="Arial" w:hAnsi="Arial"/>
          <w:sz w:val="20"/>
          <w:szCs w:val="20"/>
          <w:color w:val="auto"/>
        </w:rPr>
        <w:t xml:space="preserve"> </w:t>
      </w:r>
      <w:r>
        <w:rPr>
          <w:rFonts w:ascii="Arial" w:cs="Arial" w:eastAsia="Arial" w:hAnsi="Arial"/>
          <w:sz w:val="20"/>
          <w:szCs w:val="20"/>
          <w:i w:val="1"/>
          <w:iCs w:val="1"/>
          <w:color w:val="auto"/>
        </w:rPr>
        <w:t>regulatory and tax issues</w:t>
      </w:r>
      <w:r>
        <w:rPr>
          <w:rFonts w:ascii="Arial" w:cs="Arial" w:eastAsia="Arial" w:hAnsi="Arial"/>
          <w:sz w:val="20"/>
          <w:szCs w:val="20"/>
          <w:color w:val="auto"/>
        </w:rPr>
        <w:t>), transfer or procure the transfer to him (or a nominee for him) or, if appropriate, allot to him</w:t>
      </w:r>
      <w:r>
        <w:rPr>
          <w:rFonts w:ascii="Arial" w:cs="Arial" w:eastAsia="Arial" w:hAnsi="Arial"/>
          <w:sz w:val="20"/>
          <w:szCs w:val="20"/>
          <w:i w:val="1"/>
          <w:iCs w:val="1"/>
          <w:color w:val="auto"/>
        </w:rPr>
        <w:t xml:space="preserve"> </w:t>
      </w:r>
      <w:r>
        <w:rPr>
          <w:rFonts w:ascii="Arial" w:cs="Arial" w:eastAsia="Arial" w:hAnsi="Arial"/>
          <w:sz w:val="20"/>
          <w:szCs w:val="20"/>
          <w:color w:val="auto"/>
        </w:rPr>
        <w:t>(or a nominee for him) the number of Shares in respect of which the Option has been exercised.</w:t>
      </w:r>
    </w:p>
    <w:p>
      <w:pPr>
        <w:spacing w:after="0" w:line="16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8.7</w:t>
      </w:r>
      <w:r>
        <w:rPr>
          <w:sz w:val="20"/>
          <w:szCs w:val="20"/>
          <w:color w:val="auto"/>
        </w:rPr>
        <w:tab/>
      </w:r>
      <w:r>
        <w:rPr>
          <w:rFonts w:ascii="Arial" w:cs="Arial" w:eastAsia="Arial" w:hAnsi="Arial"/>
          <w:sz w:val="19"/>
          <w:szCs w:val="19"/>
          <w:b w:val="1"/>
          <w:bCs w:val="1"/>
          <w:color w:val="auto"/>
        </w:rPr>
        <w:t>Lapse of Options</w:t>
      </w:r>
    </w:p>
    <w:p>
      <w:pPr>
        <w:spacing w:after="0" w:line="213"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An Option which has become exercisable shall lapse at the end of the Exercise Period to the extent it has not been exercised.</w:t>
      </w:r>
    </w:p>
    <w:p>
      <w:pPr>
        <w:spacing w:after="0" w:line="153" w:lineRule="exact"/>
        <w:rPr>
          <w:sz w:val="20"/>
          <w:szCs w:val="20"/>
          <w:color w:val="auto"/>
        </w:rPr>
      </w:pPr>
    </w:p>
    <w:p>
      <w:pPr>
        <w:ind w:left="740" w:hanging="647"/>
        <w:spacing w:after="0"/>
        <w:tabs>
          <w:tab w:leader="none" w:pos="740" w:val="left"/>
        </w:tabs>
        <w:numPr>
          <w:ilvl w:val="0"/>
          <w:numId w:val="276"/>
        </w:numPr>
        <w:rPr>
          <w:rFonts w:ascii="Calibri" w:cs="Calibri" w:eastAsia="Calibri" w:hAnsi="Calibri"/>
          <w:sz w:val="20"/>
          <w:szCs w:val="20"/>
          <w:color w:val="auto"/>
        </w:rPr>
      </w:pPr>
      <w:r>
        <w:rPr>
          <w:rFonts w:ascii="Arial" w:cs="Arial" w:eastAsia="Arial" w:hAnsi="Arial"/>
          <w:sz w:val="20"/>
          <w:szCs w:val="20"/>
          <w:b w:val="1"/>
          <w:bCs w:val="1"/>
          <w:color w:val="auto"/>
        </w:rPr>
        <w:t>CASH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215265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4" w:right="459" w:bottom="1440" w:gutter="0" w:footer="0" w:header="0"/>
        </w:sectPr>
      </w:pPr>
    </w:p>
    <w:bookmarkStart w:id="291" w:name="page292"/>
    <w:bookmarkEnd w:id="291"/>
    <w:p>
      <w:pPr>
        <w:ind w:left="100"/>
        <w:spacing w:after="0"/>
        <w:tabs>
          <w:tab w:leader="none" w:pos="720" w:val="left"/>
        </w:tabs>
        <w:rPr>
          <w:sz w:val="20"/>
          <w:szCs w:val="20"/>
          <w:color w:val="auto"/>
        </w:rPr>
      </w:pPr>
      <w:r>
        <w:rPr>
          <w:rFonts w:ascii="Calibri" w:cs="Calibri" w:eastAsia="Calibri" w:hAnsi="Calibri"/>
          <w:sz w:val="20"/>
          <w:szCs w:val="20"/>
          <w:color w:val="auto"/>
        </w:rPr>
        <w:t>9.1</w:t>
      </w:r>
      <w:r>
        <w:rPr>
          <w:sz w:val="20"/>
          <w:szCs w:val="20"/>
          <w:color w:val="auto"/>
        </w:rPr>
        <w:tab/>
      </w:r>
      <w:r>
        <w:rPr>
          <w:rFonts w:ascii="Arial" w:cs="Arial" w:eastAsia="Arial" w:hAnsi="Arial"/>
          <w:sz w:val="19"/>
          <w:szCs w:val="19"/>
          <w:b w:val="1"/>
          <w:bCs w:val="1"/>
          <w:color w:val="auto"/>
        </w:rPr>
        <w:t>Committee determination</w:t>
      </w:r>
    </w:p>
    <w:p>
      <w:pPr>
        <w:spacing w:after="0" w:line="213" w:lineRule="exact"/>
        <w:rPr>
          <w:sz w:val="20"/>
          <w:szCs w:val="20"/>
          <w:color w:val="auto"/>
        </w:rPr>
      </w:pPr>
    </w:p>
    <w:p>
      <w:pPr>
        <w:jc w:val="both"/>
        <w:ind w:left="740" w:right="120"/>
        <w:spacing w:after="0" w:line="231" w:lineRule="auto"/>
        <w:rPr>
          <w:sz w:val="20"/>
          <w:szCs w:val="20"/>
          <w:color w:val="auto"/>
        </w:rPr>
      </w:pPr>
      <w:r>
        <w:rPr>
          <w:rFonts w:ascii="Arial" w:cs="Arial" w:eastAsia="Arial" w:hAnsi="Arial"/>
          <w:sz w:val="20"/>
          <w:szCs w:val="20"/>
          <w:color w:val="auto"/>
        </w:rPr>
        <w:t>Where a Conditional Award Vests or where an RSU-style Option has been automatically exercised and Vested Shares have not yet been allotted or transferred to the Participant (or his nominee), the Committee may determine that, in substitution for his right to acquire such number of Vested Shares as the Committee may decide (but in full and final satisfaction of his right to acquire those Shares), he shall be paid by way of additional employment income a sum equal to the cash equivalent (as defined in Rule 9.4) of that number of Shares in accordance with the following provisions of this Rule 9. For the avoidance of doubt where the Committee so determines that all or part of any Award be satisfied by a cash equivalent the Company may retain and apply such sums towards satisfying any Tax Liability in accordance with its right to do so under these Rules.</w:t>
      </w:r>
    </w:p>
    <w:p>
      <w:pPr>
        <w:spacing w:after="0" w:line="187" w:lineRule="exact"/>
        <w:rPr>
          <w:sz w:val="20"/>
          <w:szCs w:val="20"/>
          <w:color w:val="auto"/>
        </w:rPr>
      </w:pPr>
    </w:p>
    <w:p>
      <w:pPr>
        <w:jc w:val="both"/>
        <w:ind w:left="740" w:hanging="643"/>
        <w:spacing w:after="0" w:line="231" w:lineRule="auto"/>
        <w:tabs>
          <w:tab w:leader="none" w:pos="720" w:val="left"/>
        </w:tabs>
        <w:rPr>
          <w:sz w:val="20"/>
          <w:szCs w:val="20"/>
          <w:color w:val="auto"/>
        </w:rPr>
      </w:pPr>
      <w:r>
        <w:rPr>
          <w:rFonts w:ascii="Calibri" w:cs="Calibri" w:eastAsia="Calibri" w:hAnsi="Calibri"/>
          <w:sz w:val="20"/>
          <w:szCs w:val="20"/>
          <w:color w:val="auto"/>
        </w:rPr>
        <w:t>9.2</w:t>
      </w:r>
      <w:r>
        <w:rPr>
          <w:sz w:val="20"/>
          <w:szCs w:val="20"/>
          <w:color w:val="auto"/>
        </w:rPr>
        <w:tab/>
      </w:r>
      <w:r>
        <w:rPr>
          <w:rFonts w:ascii="Arial" w:cs="Arial" w:eastAsia="Arial" w:hAnsi="Arial"/>
          <w:sz w:val="20"/>
          <w:szCs w:val="20"/>
          <w:color w:val="auto"/>
        </w:rPr>
        <w:t>Where an Option (other than an RSU-style Option) has been exercised and Vested Shares have not yet been allotted or transferred to the Participant (or his nominee), the Committee may determine subject always to the Participant’s consent, in substitution for his right to acquire such number of Vested Shares as the Committee may decide (but in full and final satisfaction of his right to acquire those Shares), he shall be paid by way of additional employment income a sum equal to the cash equivalent (as defined in Rule 9.4) of that number of Shares in accordance with the following provisions of this Rule 9. For the avoidance of doubt where the Committee so determines that all or part of any Award be satisfied by a cash equivalent the Company may retain and apply such sums towards satisfying any Tax Liability in accordance with its right to do so under these Rules.</w:t>
      </w:r>
    </w:p>
    <w:p>
      <w:pPr>
        <w:spacing w:after="0" w:line="161"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9.3</w:t>
      </w:r>
      <w:r>
        <w:rPr>
          <w:sz w:val="20"/>
          <w:szCs w:val="20"/>
          <w:color w:val="auto"/>
        </w:rPr>
        <w:tab/>
      </w:r>
      <w:r>
        <w:rPr>
          <w:rFonts w:ascii="Arial" w:cs="Arial" w:eastAsia="Arial" w:hAnsi="Arial"/>
          <w:sz w:val="19"/>
          <w:szCs w:val="19"/>
          <w:b w:val="1"/>
          <w:bCs w:val="1"/>
          <w:color w:val="auto"/>
        </w:rPr>
        <w:t>Limitation on the use of Rules 9.1 or 9.2</w:t>
      </w:r>
    </w:p>
    <w:p>
      <w:pPr>
        <w:spacing w:after="0" w:line="227" w:lineRule="exact"/>
        <w:rPr>
          <w:sz w:val="20"/>
          <w:szCs w:val="20"/>
          <w:color w:val="auto"/>
        </w:rPr>
      </w:pPr>
    </w:p>
    <w:p>
      <w:pPr>
        <w:ind w:left="740" w:right="140"/>
        <w:spacing w:after="0" w:line="257" w:lineRule="auto"/>
        <w:rPr>
          <w:sz w:val="20"/>
          <w:szCs w:val="20"/>
          <w:color w:val="auto"/>
        </w:rPr>
      </w:pPr>
      <w:r>
        <w:rPr>
          <w:rFonts w:ascii="Arial" w:cs="Arial" w:eastAsia="Arial" w:hAnsi="Arial"/>
          <w:sz w:val="20"/>
          <w:szCs w:val="20"/>
          <w:color w:val="auto"/>
        </w:rPr>
        <w:t>Rule 9.1 and/or Rule 9.2 shall not apply in relation to an Award made to a Participant in any jurisdiction where the presence of such Rule would cause:</w:t>
      </w:r>
    </w:p>
    <w:p>
      <w:pPr>
        <w:spacing w:after="0" w:line="155" w:lineRule="exact"/>
        <w:rPr>
          <w:sz w:val="20"/>
          <w:szCs w:val="20"/>
          <w:color w:val="auto"/>
        </w:rPr>
      </w:pPr>
    </w:p>
    <w:p>
      <w:pPr>
        <w:ind w:left="1380" w:right="120" w:hanging="628"/>
        <w:spacing w:after="0" w:line="251" w:lineRule="auto"/>
        <w:tabs>
          <w:tab w:leader="none" w:pos="1380" w:val="left"/>
        </w:tabs>
        <w:numPr>
          <w:ilvl w:val="0"/>
          <w:numId w:val="277"/>
        </w:numPr>
        <w:rPr>
          <w:rFonts w:ascii="Calibri" w:cs="Calibri" w:eastAsia="Calibri" w:hAnsi="Calibri"/>
          <w:sz w:val="18"/>
          <w:szCs w:val="18"/>
          <w:color w:val="auto"/>
        </w:rPr>
      </w:pPr>
      <w:r>
        <w:rPr>
          <w:rFonts w:ascii="Arial" w:cs="Arial" w:eastAsia="Arial" w:hAnsi="Arial"/>
          <w:sz w:val="20"/>
          <w:szCs w:val="20"/>
          <w:color w:val="auto"/>
        </w:rPr>
        <w:t>the grant of the Award to be unlawful or for it to fall outside any applicable securities law exclusion or exemption; or</w:t>
      </w:r>
    </w:p>
    <w:p>
      <w:pPr>
        <w:spacing w:after="0" w:line="12" w:lineRule="exact"/>
        <w:rPr>
          <w:rFonts w:ascii="Calibri" w:cs="Calibri" w:eastAsia="Calibri" w:hAnsi="Calibri"/>
          <w:sz w:val="18"/>
          <w:szCs w:val="18"/>
          <w:color w:val="auto"/>
        </w:rPr>
      </w:pPr>
    </w:p>
    <w:p>
      <w:pPr>
        <w:ind w:left="1380" w:right="900" w:hanging="628"/>
        <w:spacing w:after="0" w:line="251" w:lineRule="auto"/>
        <w:tabs>
          <w:tab w:leader="none" w:pos="1380" w:val="left"/>
        </w:tabs>
        <w:numPr>
          <w:ilvl w:val="0"/>
          <w:numId w:val="277"/>
        </w:numPr>
        <w:rPr>
          <w:rFonts w:ascii="Calibri" w:cs="Calibri" w:eastAsia="Calibri" w:hAnsi="Calibri"/>
          <w:sz w:val="18"/>
          <w:szCs w:val="18"/>
          <w:color w:val="auto"/>
        </w:rPr>
      </w:pPr>
      <w:r>
        <w:rPr>
          <w:rFonts w:ascii="Arial" w:cs="Arial" w:eastAsia="Arial" w:hAnsi="Arial"/>
          <w:sz w:val="20"/>
          <w:szCs w:val="20"/>
          <w:color w:val="auto"/>
        </w:rPr>
        <w:t>adverse tax or social security contribution consequences for the Participant or any Group Member as determined by the Committee;</w:t>
      </w:r>
    </w:p>
    <w:p>
      <w:pPr>
        <w:spacing w:after="0" w:line="134" w:lineRule="exact"/>
        <w:rPr>
          <w:sz w:val="20"/>
          <w:szCs w:val="20"/>
          <w:color w:val="auto"/>
        </w:rPr>
      </w:pPr>
    </w:p>
    <w:p>
      <w:pPr>
        <w:ind w:left="740" w:right="120"/>
        <w:spacing w:after="0" w:line="257" w:lineRule="auto"/>
        <w:rPr>
          <w:sz w:val="20"/>
          <w:szCs w:val="20"/>
          <w:color w:val="auto"/>
        </w:rPr>
      </w:pPr>
      <w:r>
        <w:rPr>
          <w:rFonts w:ascii="Arial" w:cs="Arial" w:eastAsia="Arial" w:hAnsi="Arial"/>
          <w:sz w:val="20"/>
          <w:szCs w:val="20"/>
          <w:color w:val="auto"/>
        </w:rPr>
        <w:t>provided that this Rule 9.3 shall only apply if its application would prevent the occurrence of a consequence referred to in (a) or (b) above.</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9.4</w:t>
      </w:r>
      <w:r>
        <w:rPr>
          <w:sz w:val="20"/>
          <w:szCs w:val="20"/>
          <w:color w:val="auto"/>
        </w:rPr>
        <w:tab/>
      </w:r>
      <w:r>
        <w:rPr>
          <w:rFonts w:ascii="Arial" w:cs="Arial" w:eastAsia="Arial" w:hAnsi="Arial"/>
          <w:sz w:val="19"/>
          <w:szCs w:val="19"/>
          <w:b w:val="1"/>
          <w:bCs w:val="1"/>
          <w:color w:val="auto"/>
        </w:rPr>
        <w:t>Cash equivalent</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For the purpose of this Rule 9, the cash equivalent of a Share is:</w:t>
      </w:r>
    </w:p>
    <w:p>
      <w:pPr>
        <w:spacing w:after="0" w:line="216" w:lineRule="exact"/>
        <w:rPr>
          <w:sz w:val="20"/>
          <w:szCs w:val="20"/>
          <w:color w:val="auto"/>
        </w:rPr>
      </w:pPr>
    </w:p>
    <w:p>
      <w:pPr>
        <w:ind w:left="1380" w:hanging="628"/>
        <w:spacing w:after="0"/>
        <w:tabs>
          <w:tab w:leader="none" w:pos="1380" w:val="left"/>
        </w:tabs>
        <w:numPr>
          <w:ilvl w:val="0"/>
          <w:numId w:val="278"/>
        </w:numPr>
        <w:rPr>
          <w:rFonts w:ascii="Calibri" w:cs="Calibri" w:eastAsia="Calibri" w:hAnsi="Calibri"/>
          <w:sz w:val="18"/>
          <w:szCs w:val="18"/>
          <w:color w:val="auto"/>
        </w:rPr>
      </w:pPr>
      <w:r>
        <w:rPr>
          <w:rFonts w:ascii="Arial" w:cs="Arial" w:eastAsia="Arial" w:hAnsi="Arial"/>
          <w:sz w:val="20"/>
          <w:szCs w:val="20"/>
          <w:color w:val="auto"/>
        </w:rPr>
        <w:t>in the case of a Conditional Award, the Fair Market Value of a Share on the day when the Award Vests;</w:t>
      </w:r>
    </w:p>
    <w:p>
      <w:pPr>
        <w:spacing w:after="0" w:line="236" w:lineRule="exact"/>
        <w:rPr>
          <w:rFonts w:ascii="Calibri" w:cs="Calibri" w:eastAsia="Calibri" w:hAnsi="Calibri"/>
          <w:sz w:val="18"/>
          <w:szCs w:val="18"/>
          <w:color w:val="auto"/>
        </w:rPr>
      </w:pPr>
    </w:p>
    <w:p>
      <w:pPr>
        <w:ind w:left="1380" w:right="260" w:hanging="628"/>
        <w:spacing w:after="0" w:line="251" w:lineRule="auto"/>
        <w:tabs>
          <w:tab w:leader="none" w:pos="1380" w:val="left"/>
        </w:tabs>
        <w:numPr>
          <w:ilvl w:val="0"/>
          <w:numId w:val="278"/>
        </w:numPr>
        <w:rPr>
          <w:rFonts w:ascii="Calibri" w:cs="Calibri" w:eastAsia="Calibri" w:hAnsi="Calibri"/>
          <w:sz w:val="18"/>
          <w:szCs w:val="18"/>
          <w:color w:val="auto"/>
        </w:rPr>
      </w:pPr>
      <w:r>
        <w:rPr>
          <w:rFonts w:ascii="Arial" w:cs="Arial" w:eastAsia="Arial" w:hAnsi="Arial"/>
          <w:sz w:val="20"/>
          <w:szCs w:val="20"/>
          <w:color w:val="auto"/>
        </w:rPr>
        <w:t>in the case of an Option, the Fair Market Value of a Share on the day when the Option is exercised reduced by the Option Price.</w:t>
      </w:r>
    </w:p>
    <w:p>
      <w:pPr>
        <w:spacing w:after="0" w:line="14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9.5</w:t>
      </w:r>
      <w:r>
        <w:rPr>
          <w:sz w:val="20"/>
          <w:szCs w:val="20"/>
          <w:color w:val="auto"/>
        </w:rPr>
        <w:tab/>
      </w:r>
      <w:r>
        <w:rPr>
          <w:rFonts w:ascii="Arial" w:cs="Arial" w:eastAsia="Arial" w:hAnsi="Arial"/>
          <w:sz w:val="19"/>
          <w:szCs w:val="19"/>
          <w:b w:val="1"/>
          <w:bCs w:val="1"/>
          <w:color w:val="auto"/>
        </w:rPr>
        <w:t>Payment of cash equivalent</w:t>
      </w:r>
    </w:p>
    <w:p>
      <w:pPr>
        <w:spacing w:after="0" w:line="227" w:lineRule="exact"/>
        <w:rPr>
          <w:sz w:val="20"/>
          <w:szCs w:val="20"/>
          <w:color w:val="auto"/>
        </w:rPr>
      </w:pPr>
    </w:p>
    <w:p>
      <w:pPr>
        <w:jc w:val="both"/>
        <w:ind w:left="740" w:right="120"/>
        <w:spacing w:after="0" w:line="252" w:lineRule="auto"/>
        <w:rPr>
          <w:sz w:val="20"/>
          <w:szCs w:val="20"/>
          <w:color w:val="auto"/>
        </w:rPr>
      </w:pPr>
      <w:r>
        <w:rPr>
          <w:rFonts w:ascii="Arial" w:cs="Arial" w:eastAsia="Arial" w:hAnsi="Arial"/>
          <w:sz w:val="19"/>
          <w:szCs w:val="19"/>
          <w:color w:val="auto"/>
        </w:rPr>
        <w:t>Subject to Rule 9.6 (</w:t>
      </w:r>
      <w:r>
        <w:rPr>
          <w:rFonts w:ascii="Arial" w:cs="Arial" w:eastAsia="Arial" w:hAnsi="Arial"/>
          <w:sz w:val="19"/>
          <w:szCs w:val="19"/>
          <w:i w:val="1"/>
          <w:iCs w:val="1"/>
          <w:color w:val="auto"/>
        </w:rPr>
        <w:t>Share alternative</w:t>
      </w:r>
      <w:r>
        <w:rPr>
          <w:rFonts w:ascii="Arial" w:cs="Arial" w:eastAsia="Arial" w:hAnsi="Arial"/>
          <w:sz w:val="19"/>
          <w:szCs w:val="19"/>
          <w:color w:val="auto"/>
        </w:rPr>
        <w:t>), as soon as reasonably practicable after the Committee has determined under Rule 9.1 or that the Participant has consented in accordance with Rule 9.2 (where applicable) that a Participant shall be paid a sum in substitution for his right to acquire any number of Vested Shares and where the Committee has not determined to retain and apply such sums towards satisfying any Tax Liability in accordance with Rule 9.1 and/or 9.2: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2" w:right="339" w:bottom="1440" w:gutter="0" w:footer="0" w:header="0"/>
        </w:sectPr>
      </w:pPr>
    </w:p>
    <w:bookmarkStart w:id="292" w:name="page293"/>
    <w:bookmarkEnd w:id="292"/>
    <w:p>
      <w:pPr>
        <w:spacing w:after="0" w:line="190" w:lineRule="exact"/>
        <w:rPr>
          <w:sz w:val="20"/>
          <w:szCs w:val="20"/>
          <w:color w:val="auto"/>
        </w:rPr>
      </w:pPr>
    </w:p>
    <w:p>
      <w:pPr>
        <w:ind w:left="1400" w:hanging="648"/>
        <w:spacing w:after="0"/>
        <w:tabs>
          <w:tab w:leader="none" w:pos="1400" w:val="left"/>
        </w:tabs>
        <w:numPr>
          <w:ilvl w:val="0"/>
          <w:numId w:val="279"/>
        </w:numPr>
        <w:rPr>
          <w:rFonts w:ascii="Calibri" w:cs="Calibri" w:eastAsia="Calibri" w:hAnsi="Calibri"/>
          <w:sz w:val="18"/>
          <w:szCs w:val="18"/>
          <w:color w:val="auto"/>
        </w:rPr>
      </w:pPr>
      <w:r>
        <w:rPr>
          <w:rFonts w:ascii="Arial" w:cs="Arial" w:eastAsia="Arial" w:hAnsi="Arial"/>
          <w:sz w:val="20"/>
          <w:szCs w:val="20"/>
          <w:color w:val="auto"/>
        </w:rPr>
        <w:t>the Company shall pay to him or procure the payment to him of that sum in cash; and</w:t>
      </w:r>
    </w:p>
    <w:p>
      <w:pPr>
        <w:spacing w:after="0" w:line="236" w:lineRule="exact"/>
        <w:rPr>
          <w:rFonts w:ascii="Calibri" w:cs="Calibri" w:eastAsia="Calibri" w:hAnsi="Calibri"/>
          <w:sz w:val="18"/>
          <w:szCs w:val="18"/>
          <w:color w:val="auto"/>
        </w:rPr>
      </w:pPr>
    </w:p>
    <w:p>
      <w:pPr>
        <w:ind w:left="1380" w:right="300" w:hanging="628"/>
        <w:spacing w:after="0" w:line="251" w:lineRule="auto"/>
        <w:tabs>
          <w:tab w:leader="none" w:pos="1380" w:val="left"/>
        </w:tabs>
        <w:numPr>
          <w:ilvl w:val="0"/>
          <w:numId w:val="279"/>
        </w:numPr>
        <w:rPr>
          <w:rFonts w:ascii="Calibri" w:cs="Calibri" w:eastAsia="Calibri" w:hAnsi="Calibri"/>
          <w:sz w:val="18"/>
          <w:szCs w:val="18"/>
          <w:color w:val="auto"/>
        </w:rPr>
      </w:pPr>
      <w:r>
        <w:rPr>
          <w:rFonts w:ascii="Arial" w:cs="Arial" w:eastAsia="Arial" w:hAnsi="Arial"/>
          <w:sz w:val="20"/>
          <w:szCs w:val="20"/>
          <w:color w:val="auto"/>
        </w:rPr>
        <w:t>if he has already paid the Company for those Shares, the Company shall return to him the amount so paid by him.</w:t>
      </w:r>
    </w:p>
    <w:p>
      <w:pPr>
        <w:spacing w:after="0" w:line="14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9.6</w:t>
      </w:r>
      <w:r>
        <w:rPr>
          <w:sz w:val="20"/>
          <w:szCs w:val="20"/>
          <w:color w:val="auto"/>
        </w:rPr>
        <w:tab/>
      </w:r>
      <w:r>
        <w:rPr>
          <w:rFonts w:ascii="Arial" w:cs="Arial" w:eastAsia="Arial" w:hAnsi="Arial"/>
          <w:sz w:val="19"/>
          <w:szCs w:val="19"/>
          <w:b w:val="1"/>
          <w:bCs w:val="1"/>
          <w:color w:val="auto"/>
        </w:rPr>
        <w:t>Share alternative</w:t>
      </w:r>
    </w:p>
    <w:p>
      <w:pPr>
        <w:spacing w:after="0" w:line="213" w:lineRule="exact"/>
        <w:rPr>
          <w:sz w:val="20"/>
          <w:szCs w:val="20"/>
          <w:color w:val="auto"/>
        </w:rPr>
      </w:pPr>
    </w:p>
    <w:p>
      <w:pPr>
        <w:ind w:left="740" w:right="380"/>
        <w:spacing w:after="0" w:line="257" w:lineRule="auto"/>
        <w:rPr>
          <w:sz w:val="20"/>
          <w:szCs w:val="20"/>
          <w:color w:val="auto"/>
        </w:rPr>
      </w:pPr>
      <w:r>
        <w:rPr>
          <w:rFonts w:ascii="Arial" w:cs="Arial" w:eastAsia="Arial" w:hAnsi="Arial"/>
          <w:sz w:val="20"/>
          <w:szCs w:val="20"/>
          <w:color w:val="auto"/>
        </w:rPr>
        <w:t>If the Committee so decides, the whole or any part of the sum payable under Rule 9.5 shall, instead of being paid to the Participant in cash, be applied on his behalf:</w:t>
      </w:r>
    </w:p>
    <w:p>
      <w:pPr>
        <w:spacing w:after="0" w:line="169" w:lineRule="exact"/>
        <w:rPr>
          <w:sz w:val="20"/>
          <w:szCs w:val="20"/>
          <w:color w:val="auto"/>
        </w:rPr>
      </w:pPr>
    </w:p>
    <w:p>
      <w:pPr>
        <w:ind w:left="1380" w:right="620" w:hanging="628"/>
        <w:spacing w:after="0" w:line="251" w:lineRule="auto"/>
        <w:tabs>
          <w:tab w:leader="none" w:pos="1380" w:val="left"/>
        </w:tabs>
        <w:numPr>
          <w:ilvl w:val="0"/>
          <w:numId w:val="280"/>
        </w:numPr>
        <w:rPr>
          <w:rFonts w:ascii="Calibri" w:cs="Calibri" w:eastAsia="Calibri" w:hAnsi="Calibri"/>
          <w:sz w:val="18"/>
          <w:szCs w:val="18"/>
          <w:color w:val="auto"/>
        </w:rPr>
      </w:pPr>
      <w:r>
        <w:rPr>
          <w:rFonts w:ascii="Arial" w:cs="Arial" w:eastAsia="Arial" w:hAnsi="Arial"/>
          <w:sz w:val="20"/>
          <w:szCs w:val="20"/>
          <w:color w:val="auto"/>
        </w:rPr>
        <w:t>in subscribing for Shares at a price equal to the market value by reference to which the cash equivalent is calculated; or</w:t>
      </w:r>
    </w:p>
    <w:p>
      <w:pPr>
        <w:spacing w:after="0" w:line="160" w:lineRule="exact"/>
        <w:rPr>
          <w:rFonts w:ascii="Calibri" w:cs="Calibri" w:eastAsia="Calibri" w:hAnsi="Calibri"/>
          <w:sz w:val="18"/>
          <w:szCs w:val="18"/>
          <w:color w:val="auto"/>
        </w:rPr>
      </w:pPr>
    </w:p>
    <w:p>
      <w:pPr>
        <w:ind w:left="1400" w:hanging="648"/>
        <w:spacing w:after="0"/>
        <w:tabs>
          <w:tab w:leader="none" w:pos="1400" w:val="left"/>
        </w:tabs>
        <w:numPr>
          <w:ilvl w:val="0"/>
          <w:numId w:val="280"/>
        </w:numPr>
        <w:rPr>
          <w:rFonts w:ascii="Calibri" w:cs="Calibri" w:eastAsia="Calibri" w:hAnsi="Calibri"/>
          <w:sz w:val="18"/>
          <w:szCs w:val="18"/>
          <w:color w:val="auto"/>
        </w:rPr>
      </w:pPr>
      <w:r>
        <w:rPr>
          <w:rFonts w:ascii="Arial" w:cs="Arial" w:eastAsia="Arial" w:hAnsi="Arial"/>
          <w:sz w:val="20"/>
          <w:szCs w:val="20"/>
          <w:color w:val="auto"/>
        </w:rPr>
        <w:t>in purchasing such Shares; or</w:t>
      </w:r>
    </w:p>
    <w:p>
      <w:pPr>
        <w:spacing w:after="0" w:line="236" w:lineRule="exact"/>
        <w:rPr>
          <w:rFonts w:ascii="Calibri" w:cs="Calibri" w:eastAsia="Calibri" w:hAnsi="Calibri"/>
          <w:sz w:val="18"/>
          <w:szCs w:val="18"/>
          <w:color w:val="auto"/>
        </w:rPr>
      </w:pPr>
    </w:p>
    <w:p>
      <w:pPr>
        <w:ind w:left="1400" w:hanging="648"/>
        <w:spacing w:after="0"/>
        <w:tabs>
          <w:tab w:leader="none" w:pos="1400" w:val="left"/>
        </w:tabs>
        <w:numPr>
          <w:ilvl w:val="0"/>
          <w:numId w:val="280"/>
        </w:numPr>
        <w:rPr>
          <w:rFonts w:ascii="Calibri" w:cs="Calibri" w:eastAsia="Calibri" w:hAnsi="Calibri"/>
          <w:sz w:val="18"/>
          <w:szCs w:val="18"/>
          <w:color w:val="auto"/>
        </w:rPr>
      </w:pPr>
      <w:r>
        <w:rPr>
          <w:rFonts w:ascii="Arial" w:cs="Arial" w:eastAsia="Arial" w:hAnsi="Arial"/>
          <w:sz w:val="20"/>
          <w:szCs w:val="20"/>
          <w:color w:val="auto"/>
        </w:rPr>
        <w:t>partly in one way and partly in the other</w:t>
      </w:r>
    </w:p>
    <w:p>
      <w:pPr>
        <w:spacing w:after="0" w:line="196" w:lineRule="exact"/>
        <w:rPr>
          <w:sz w:val="20"/>
          <w:szCs w:val="20"/>
          <w:color w:val="auto"/>
        </w:rPr>
      </w:pPr>
    </w:p>
    <w:p>
      <w:pPr>
        <w:ind w:left="740" w:right="360"/>
        <w:spacing w:after="0" w:line="257" w:lineRule="auto"/>
        <w:rPr>
          <w:sz w:val="20"/>
          <w:szCs w:val="20"/>
          <w:color w:val="auto"/>
        </w:rPr>
      </w:pPr>
      <w:r>
        <w:rPr>
          <w:rFonts w:ascii="Arial" w:cs="Arial" w:eastAsia="Arial" w:hAnsi="Arial"/>
          <w:sz w:val="20"/>
          <w:szCs w:val="20"/>
          <w:color w:val="auto"/>
        </w:rPr>
        <w:t>and the Company shall allot or transfer to him (or his nominee) or procure the transfer to him (or his nominee) of the Shares so subscribed for or purchased.</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9.7</w:t>
      </w:r>
      <w:r>
        <w:rPr>
          <w:sz w:val="20"/>
          <w:szCs w:val="20"/>
          <w:color w:val="auto"/>
        </w:rPr>
        <w:tab/>
      </w:r>
      <w:r>
        <w:rPr>
          <w:rFonts w:ascii="Arial" w:cs="Arial" w:eastAsia="Arial" w:hAnsi="Arial"/>
          <w:sz w:val="19"/>
          <w:szCs w:val="19"/>
          <w:b w:val="1"/>
          <w:bCs w:val="1"/>
          <w:color w:val="auto"/>
        </w:rPr>
        <w:t>Deductions</w:t>
      </w:r>
    </w:p>
    <w:p>
      <w:pPr>
        <w:spacing w:after="0" w:line="227" w:lineRule="exact"/>
        <w:rPr>
          <w:sz w:val="20"/>
          <w:szCs w:val="20"/>
          <w:color w:val="auto"/>
        </w:rPr>
      </w:pPr>
    </w:p>
    <w:p>
      <w:pPr>
        <w:jc w:val="both"/>
        <w:ind w:left="740" w:right="120"/>
        <w:spacing w:after="0" w:line="241" w:lineRule="auto"/>
        <w:rPr>
          <w:sz w:val="20"/>
          <w:szCs w:val="20"/>
          <w:color w:val="auto"/>
        </w:rPr>
      </w:pPr>
      <w:r>
        <w:rPr>
          <w:rFonts w:ascii="Arial" w:cs="Arial" w:eastAsia="Arial" w:hAnsi="Arial"/>
          <w:sz w:val="20"/>
          <w:szCs w:val="20"/>
          <w:color w:val="auto"/>
        </w:rPr>
        <w:t>There shall be deducted from any payment under this Rule 9 such amounts (on account of tax or similar liabilities or in satisfaction of any Option Price outstanding) as may be required by law or as the Committee may reasonably consider to be necessary or desirable and permitted by law.</w:t>
      </w:r>
    </w:p>
    <w:p>
      <w:pPr>
        <w:spacing w:after="0" w:line="169" w:lineRule="exact"/>
        <w:rPr>
          <w:sz w:val="20"/>
          <w:szCs w:val="20"/>
          <w:color w:val="auto"/>
        </w:rPr>
      </w:pPr>
    </w:p>
    <w:p>
      <w:pPr>
        <w:ind w:left="740" w:hanging="647"/>
        <w:spacing w:after="0"/>
        <w:tabs>
          <w:tab w:leader="none" w:pos="740" w:val="left"/>
        </w:tabs>
        <w:numPr>
          <w:ilvl w:val="0"/>
          <w:numId w:val="281"/>
        </w:numPr>
        <w:rPr>
          <w:rFonts w:ascii="Calibri" w:cs="Calibri" w:eastAsia="Calibri" w:hAnsi="Calibri"/>
          <w:sz w:val="20"/>
          <w:szCs w:val="20"/>
          <w:color w:val="auto"/>
        </w:rPr>
      </w:pPr>
      <w:r>
        <w:rPr>
          <w:rFonts w:ascii="Arial" w:cs="Arial" w:eastAsia="Arial" w:hAnsi="Arial"/>
          <w:sz w:val="20"/>
          <w:szCs w:val="20"/>
          <w:b w:val="1"/>
          <w:bCs w:val="1"/>
          <w:color w:val="auto"/>
        </w:rPr>
        <w:t>LAPSE OF AWARDS</w:t>
      </w:r>
    </w:p>
    <w:p>
      <w:pPr>
        <w:spacing w:after="0" w:line="21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10.1</w:t>
      </w:r>
      <w:r>
        <w:rPr>
          <w:sz w:val="20"/>
          <w:szCs w:val="20"/>
          <w:color w:val="auto"/>
        </w:rPr>
        <w:tab/>
      </w:r>
      <w:r>
        <w:rPr>
          <w:rFonts w:ascii="Arial" w:cs="Arial" w:eastAsia="Arial" w:hAnsi="Arial"/>
          <w:sz w:val="19"/>
          <w:szCs w:val="19"/>
          <w:b w:val="1"/>
          <w:bCs w:val="1"/>
          <w:color w:val="auto"/>
        </w:rPr>
        <w:t>General</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Award shall lapse:</w:t>
      </w:r>
    </w:p>
    <w:p>
      <w:pPr>
        <w:spacing w:after="0" w:line="216" w:lineRule="exact"/>
        <w:rPr>
          <w:sz w:val="20"/>
          <w:szCs w:val="20"/>
          <w:color w:val="auto"/>
        </w:rPr>
      </w:pPr>
    </w:p>
    <w:p>
      <w:pPr>
        <w:ind w:left="1400" w:hanging="648"/>
        <w:spacing w:after="0"/>
        <w:tabs>
          <w:tab w:leader="none" w:pos="1400" w:val="left"/>
        </w:tabs>
        <w:numPr>
          <w:ilvl w:val="0"/>
          <w:numId w:val="282"/>
        </w:numPr>
        <w:rPr>
          <w:rFonts w:ascii="Calibri" w:cs="Calibri" w:eastAsia="Calibri" w:hAnsi="Calibri"/>
          <w:sz w:val="18"/>
          <w:szCs w:val="18"/>
          <w:color w:val="auto"/>
        </w:rPr>
      </w:pPr>
      <w:r>
        <w:rPr>
          <w:rFonts w:ascii="Arial" w:cs="Arial" w:eastAsia="Arial" w:hAnsi="Arial"/>
          <w:sz w:val="20"/>
          <w:szCs w:val="20"/>
          <w:color w:val="auto"/>
        </w:rPr>
        <w:t>in accordance with the Rules of the Plan; or</w:t>
      </w:r>
    </w:p>
    <w:p>
      <w:pPr>
        <w:spacing w:after="0" w:line="223" w:lineRule="exact"/>
        <w:rPr>
          <w:rFonts w:ascii="Calibri" w:cs="Calibri" w:eastAsia="Calibri" w:hAnsi="Calibri"/>
          <w:sz w:val="18"/>
          <w:szCs w:val="18"/>
          <w:color w:val="auto"/>
        </w:rPr>
      </w:pPr>
    </w:p>
    <w:p>
      <w:pPr>
        <w:ind w:left="1400" w:hanging="648"/>
        <w:spacing w:after="0"/>
        <w:tabs>
          <w:tab w:leader="none" w:pos="1400" w:val="left"/>
        </w:tabs>
        <w:numPr>
          <w:ilvl w:val="0"/>
          <w:numId w:val="282"/>
        </w:numPr>
        <w:rPr>
          <w:rFonts w:ascii="Calibri" w:cs="Calibri" w:eastAsia="Calibri" w:hAnsi="Calibri"/>
          <w:sz w:val="18"/>
          <w:szCs w:val="18"/>
          <w:color w:val="auto"/>
        </w:rPr>
      </w:pPr>
      <w:r>
        <w:rPr>
          <w:rFonts w:ascii="Arial" w:cs="Arial" w:eastAsia="Arial" w:hAnsi="Arial"/>
          <w:sz w:val="20"/>
          <w:szCs w:val="20"/>
          <w:color w:val="auto"/>
        </w:rPr>
        <w:t>to the extent it does not Vest under the Rules of the Plan.</w:t>
      </w:r>
    </w:p>
    <w:p>
      <w:pPr>
        <w:spacing w:after="0" w:line="200" w:lineRule="exact"/>
        <w:rPr>
          <w:sz w:val="20"/>
          <w:szCs w:val="20"/>
          <w:color w:val="auto"/>
        </w:rPr>
      </w:pPr>
    </w:p>
    <w:p>
      <w:pPr>
        <w:spacing w:after="0" w:line="227"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10.2</w:t>
      </w:r>
      <w:r>
        <w:rPr>
          <w:sz w:val="20"/>
          <w:szCs w:val="20"/>
          <w:color w:val="auto"/>
        </w:rPr>
        <w:tab/>
      </w:r>
      <w:r>
        <w:rPr>
          <w:rFonts w:ascii="Arial" w:cs="Arial" w:eastAsia="Arial" w:hAnsi="Arial"/>
          <w:sz w:val="19"/>
          <w:szCs w:val="19"/>
          <w:b w:val="1"/>
          <w:bCs w:val="1"/>
          <w:color w:val="auto"/>
        </w:rPr>
        <w:t>Short-Term Options</w:t>
      </w:r>
    </w:p>
    <w:p>
      <w:pPr>
        <w:spacing w:after="0" w:line="227" w:lineRule="exact"/>
        <w:rPr>
          <w:sz w:val="20"/>
          <w:szCs w:val="20"/>
          <w:color w:val="auto"/>
        </w:rPr>
      </w:pPr>
    </w:p>
    <w:p>
      <w:pPr>
        <w:jc w:val="both"/>
        <w:ind w:left="740" w:right="120"/>
        <w:spacing w:after="0" w:line="241" w:lineRule="auto"/>
        <w:rPr>
          <w:sz w:val="20"/>
          <w:szCs w:val="20"/>
          <w:color w:val="auto"/>
        </w:rPr>
      </w:pPr>
      <w:r>
        <w:rPr>
          <w:rFonts w:ascii="Arial" w:cs="Arial" w:eastAsia="Arial" w:hAnsi="Arial"/>
          <w:sz w:val="20"/>
          <w:szCs w:val="20"/>
          <w:color w:val="auto"/>
        </w:rPr>
        <w:t>A Short-Term Option shall lapse at the end of the Short-Term Deferral Period in relation to that Option (or such shorter period set forth in the grant documentation or as specified by the Committee in order to avoid adverse tax consequences), if not exercised.</w:t>
      </w:r>
    </w:p>
    <w:p>
      <w:pPr>
        <w:spacing w:after="0" w:line="169" w:lineRule="exact"/>
        <w:rPr>
          <w:sz w:val="20"/>
          <w:szCs w:val="20"/>
          <w:color w:val="auto"/>
        </w:rPr>
      </w:pPr>
    </w:p>
    <w:p>
      <w:pPr>
        <w:ind w:left="740" w:hanging="647"/>
        <w:spacing w:after="0"/>
        <w:tabs>
          <w:tab w:leader="none" w:pos="740" w:val="left"/>
        </w:tabs>
        <w:numPr>
          <w:ilvl w:val="0"/>
          <w:numId w:val="283"/>
        </w:numPr>
        <w:rPr>
          <w:rFonts w:ascii="Calibri" w:cs="Calibri" w:eastAsia="Calibri" w:hAnsi="Calibri"/>
          <w:sz w:val="20"/>
          <w:szCs w:val="20"/>
          <w:color w:val="auto"/>
        </w:rPr>
      </w:pPr>
      <w:r>
        <w:rPr>
          <w:rFonts w:ascii="Arial" w:cs="Arial" w:eastAsia="Arial" w:hAnsi="Arial"/>
          <w:sz w:val="20"/>
          <w:szCs w:val="20"/>
          <w:b w:val="1"/>
          <w:bCs w:val="1"/>
          <w:color w:val="auto"/>
        </w:rPr>
        <w:t>CESSATION OF OFFICE, EMPLOYMENT AND/OR CONSULTANCY</w:t>
      </w:r>
    </w:p>
    <w:p>
      <w:pPr>
        <w:spacing w:after="0" w:line="230" w:lineRule="exact"/>
        <w:rPr>
          <w:sz w:val="20"/>
          <w:szCs w:val="20"/>
          <w:color w:val="auto"/>
        </w:rPr>
      </w:pPr>
    </w:p>
    <w:p>
      <w:pPr>
        <w:jc w:val="both"/>
        <w:ind w:left="740" w:hanging="658"/>
        <w:spacing w:after="0" w:line="233" w:lineRule="auto"/>
        <w:tabs>
          <w:tab w:leader="none" w:pos="720" w:val="left"/>
        </w:tabs>
        <w:rPr>
          <w:sz w:val="20"/>
          <w:szCs w:val="20"/>
          <w:color w:val="auto"/>
        </w:rPr>
      </w:pPr>
      <w:r>
        <w:rPr>
          <w:rFonts w:ascii="Calibri" w:cs="Calibri" w:eastAsia="Calibri" w:hAnsi="Calibri"/>
          <w:sz w:val="20"/>
          <w:szCs w:val="20"/>
          <w:color w:val="auto"/>
        </w:rPr>
        <w:t>11.1</w:t>
      </w:r>
      <w:r>
        <w:rPr>
          <w:sz w:val="20"/>
          <w:szCs w:val="20"/>
          <w:color w:val="auto"/>
        </w:rPr>
        <w:tab/>
      </w:r>
      <w:r>
        <w:rPr>
          <w:rFonts w:ascii="Arial" w:cs="Arial" w:eastAsia="Arial" w:hAnsi="Arial"/>
          <w:sz w:val="20"/>
          <w:szCs w:val="20"/>
          <w:color w:val="auto"/>
        </w:rPr>
        <w:t>Where a Participant ceases to be an Engaged Person for any reason all Awards which are unvested shall lapse forthwith unless the Committee decides in its sole discretion that, subject to Rule 6.3 (</w:t>
      </w:r>
      <w:r>
        <w:rPr>
          <w:rFonts w:ascii="Arial" w:cs="Arial" w:eastAsia="Arial" w:hAnsi="Arial"/>
          <w:sz w:val="20"/>
          <w:szCs w:val="20"/>
          <w:i w:val="1"/>
          <w:iCs w:val="1"/>
          <w:color w:val="auto"/>
        </w:rPr>
        <w:t>Restrictions on Vesting: tax</w:t>
      </w:r>
      <w:r>
        <w:rPr>
          <w:rFonts w:ascii="Arial" w:cs="Arial" w:eastAsia="Arial" w:hAnsi="Arial"/>
          <w:sz w:val="20"/>
          <w:szCs w:val="20"/>
          <w:color w:val="auto"/>
        </w:rPr>
        <w:t xml:space="preserve"> </w:t>
      </w:r>
      <w:r>
        <w:rPr>
          <w:rFonts w:ascii="Arial" w:cs="Arial" w:eastAsia="Arial" w:hAnsi="Arial"/>
          <w:sz w:val="20"/>
          <w:szCs w:val="20"/>
          <w:i w:val="1"/>
          <w:iCs w:val="1"/>
          <w:color w:val="auto"/>
        </w:rPr>
        <w:t>issues</w:t>
      </w:r>
      <w:r>
        <w:rPr>
          <w:rFonts w:ascii="Arial" w:cs="Arial" w:eastAsia="Arial" w:hAnsi="Arial"/>
          <w:sz w:val="20"/>
          <w:szCs w:val="20"/>
          <w:color w:val="auto"/>
        </w:rPr>
        <w:t>), his Award shall Vest on the date of such cessation or such later date that the Committee may determine;</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however, that in the case of an Award granted to a US Taxpayer, Rule 11 shall be administered in a manner that either complies with Section 409A of the IRS Code, or in a manner that does not result in the Award becoming subject to Section 409A.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93" w:name="page294"/>
    <w:bookmarkEnd w:id="293"/>
    <w:p>
      <w:pPr>
        <w:jc w:val="center"/>
        <w:ind w:right="-39"/>
        <w:spacing w:after="0"/>
        <w:rPr>
          <w:sz w:val="20"/>
          <w:szCs w:val="20"/>
          <w:color w:val="auto"/>
        </w:rPr>
      </w:pPr>
      <w:r>
        <w:rPr>
          <w:rFonts w:ascii="Arial" w:cs="Arial" w:eastAsia="Arial" w:hAnsi="Arial"/>
          <w:sz w:val="20"/>
          <w:szCs w:val="20"/>
          <w:color w:val="auto"/>
        </w:rPr>
        <w:t>applying such discretion the Committee may determine a reduction to the number of Vested Shares as it sees fit.</w:t>
      </w:r>
    </w:p>
    <w:p>
      <w:pPr>
        <w:spacing w:after="0" w:line="202" w:lineRule="exact"/>
        <w:rPr>
          <w:sz w:val="20"/>
          <w:szCs w:val="20"/>
          <w:color w:val="auto"/>
        </w:rPr>
      </w:pPr>
    </w:p>
    <w:p>
      <w:pPr>
        <w:ind w:left="740" w:right="60" w:hanging="643"/>
        <w:spacing w:after="0" w:line="257" w:lineRule="auto"/>
        <w:tabs>
          <w:tab w:leader="none" w:pos="720" w:val="left"/>
        </w:tabs>
        <w:rPr>
          <w:sz w:val="20"/>
          <w:szCs w:val="20"/>
          <w:color w:val="auto"/>
        </w:rPr>
      </w:pPr>
      <w:r>
        <w:rPr>
          <w:rFonts w:ascii="Calibri" w:cs="Calibri" w:eastAsia="Calibri" w:hAnsi="Calibri"/>
          <w:sz w:val="20"/>
          <w:szCs w:val="20"/>
          <w:color w:val="auto"/>
        </w:rPr>
        <w:t>11.2</w:t>
      </w:r>
      <w:r>
        <w:rPr>
          <w:sz w:val="20"/>
          <w:szCs w:val="20"/>
          <w:color w:val="auto"/>
        </w:rPr>
        <w:tab/>
      </w:r>
      <w:r>
        <w:rPr>
          <w:rFonts w:ascii="Arial" w:cs="Arial" w:eastAsia="Arial" w:hAnsi="Arial"/>
          <w:sz w:val="20"/>
          <w:szCs w:val="20"/>
          <w:color w:val="auto"/>
        </w:rPr>
        <w:t>If a Participant dies before exercising an Award or part thereof which has Vested prior to the date of death, the Award may (and must, if at all) be exercised by his personal representatives within the period ending on the earlier of:</w:t>
      </w:r>
    </w:p>
    <w:p>
      <w:pPr>
        <w:spacing w:after="0" w:line="155" w:lineRule="exact"/>
        <w:rPr>
          <w:sz w:val="20"/>
          <w:szCs w:val="20"/>
          <w:color w:val="auto"/>
        </w:rPr>
      </w:pPr>
    </w:p>
    <w:p>
      <w:pPr>
        <w:ind w:left="1480" w:hanging="369"/>
        <w:spacing w:after="0"/>
        <w:tabs>
          <w:tab w:leader="none" w:pos="1480" w:val="left"/>
        </w:tabs>
        <w:numPr>
          <w:ilvl w:val="0"/>
          <w:numId w:val="284"/>
        </w:numPr>
        <w:rPr>
          <w:rFonts w:ascii="Calibri" w:cs="Calibri" w:eastAsia="Calibri" w:hAnsi="Calibri"/>
          <w:sz w:val="18"/>
          <w:szCs w:val="18"/>
          <w:color w:val="auto"/>
        </w:rPr>
      </w:pPr>
      <w:r>
        <w:rPr>
          <w:rFonts w:ascii="Arial" w:cs="Arial" w:eastAsia="Arial" w:hAnsi="Arial"/>
          <w:sz w:val="20"/>
          <w:szCs w:val="20"/>
          <w:color w:val="auto"/>
        </w:rPr>
        <w:t>the expiry of 12 months after the date of death; and</w:t>
      </w:r>
    </w:p>
    <w:p>
      <w:pPr>
        <w:spacing w:after="0" w:line="182" w:lineRule="exact"/>
        <w:rPr>
          <w:rFonts w:ascii="Calibri" w:cs="Calibri" w:eastAsia="Calibri" w:hAnsi="Calibri"/>
          <w:sz w:val="18"/>
          <w:szCs w:val="18"/>
          <w:color w:val="auto"/>
        </w:rPr>
      </w:pPr>
    </w:p>
    <w:p>
      <w:pPr>
        <w:ind w:left="1480" w:hanging="369"/>
        <w:spacing w:after="0"/>
        <w:tabs>
          <w:tab w:leader="none" w:pos="1480" w:val="left"/>
        </w:tabs>
        <w:numPr>
          <w:ilvl w:val="0"/>
          <w:numId w:val="284"/>
        </w:numPr>
        <w:rPr>
          <w:rFonts w:ascii="Calibri" w:cs="Calibri" w:eastAsia="Calibri" w:hAnsi="Calibri"/>
          <w:sz w:val="18"/>
          <w:szCs w:val="18"/>
          <w:color w:val="auto"/>
        </w:rPr>
      </w:pPr>
      <w:r>
        <w:rPr>
          <w:rFonts w:ascii="Arial" w:cs="Arial" w:eastAsia="Arial" w:hAnsi="Arial"/>
          <w:sz w:val="20"/>
          <w:szCs w:val="20"/>
          <w:color w:val="auto"/>
        </w:rPr>
        <w:t>the expiry of the Exercise Period,</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and failing such exercise the Award shall lapse.</w:t>
      </w:r>
    </w:p>
    <w:p>
      <w:pPr>
        <w:spacing w:after="0" w:line="202"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11.3</w:t>
      </w:r>
      <w:r>
        <w:rPr>
          <w:rFonts w:ascii="Arial" w:cs="Arial" w:eastAsia="Arial" w:hAnsi="Arial"/>
          <w:sz w:val="20"/>
          <w:szCs w:val="20"/>
          <w:color w:val="auto"/>
        </w:rPr>
        <w:t>If a Participant ceases to be an Engaged Person otherwise than upon death:</w:t>
      </w:r>
    </w:p>
    <w:p>
      <w:pPr>
        <w:spacing w:after="0" w:line="228" w:lineRule="exact"/>
        <w:rPr>
          <w:sz w:val="20"/>
          <w:szCs w:val="20"/>
          <w:color w:val="auto"/>
        </w:rPr>
      </w:pPr>
    </w:p>
    <w:p>
      <w:pPr>
        <w:jc w:val="both"/>
        <w:ind w:left="1480" w:right="60" w:hanging="373"/>
        <w:spacing w:after="0" w:line="241" w:lineRule="auto"/>
        <w:tabs>
          <w:tab w:leader="none" w:pos="1460" w:val="left"/>
        </w:tabs>
        <w:rPr>
          <w:sz w:val="20"/>
          <w:szCs w:val="20"/>
          <w:color w:val="auto"/>
        </w:rPr>
      </w:pPr>
      <w:r>
        <w:rPr>
          <w:rFonts w:ascii="Arial" w:cs="Arial" w:eastAsia="Arial" w:hAnsi="Arial"/>
          <w:sz w:val="20"/>
          <w:szCs w:val="20"/>
          <w:color w:val="auto"/>
        </w:rPr>
        <w:t>(a)</w:t>
        <w:tab/>
        <w:t>by reason of cessation of his office, employment or consultancy contract with any Group Member due to ill health, injury or disability, redundancy or retirement on reaching the age at which he is bound to retire in accordance with the terms of his contract of employment; or</w:t>
      </w:r>
    </w:p>
    <w:p>
      <w:pPr>
        <w:spacing w:after="0" w:line="171" w:lineRule="exact"/>
        <w:rPr>
          <w:sz w:val="20"/>
          <w:szCs w:val="20"/>
          <w:color w:val="auto"/>
        </w:rPr>
      </w:pPr>
    </w:p>
    <w:p>
      <w:pPr>
        <w:ind w:left="1120"/>
        <w:spacing w:after="0"/>
        <w:tabs>
          <w:tab w:leader="none" w:pos="1540" w:val="left"/>
          <w:tab w:leader="none" w:pos="3720" w:val="left"/>
        </w:tabs>
        <w:rPr>
          <w:sz w:val="20"/>
          <w:szCs w:val="20"/>
          <w:color w:val="auto"/>
        </w:rPr>
      </w:pPr>
      <w:r>
        <w:rPr>
          <w:rFonts w:ascii="Arial" w:cs="Arial" w:eastAsia="Arial" w:hAnsi="Arial"/>
          <w:sz w:val="20"/>
          <w:szCs w:val="20"/>
          <w:color w:val="auto"/>
        </w:rPr>
        <w:t>(b)</w:t>
        <w:tab/>
        <w:t>by reason only that</w:t>
      </w:r>
      <w:r>
        <w:rPr>
          <w:sz w:val="20"/>
          <w:szCs w:val="20"/>
          <w:color w:val="auto"/>
        </w:rPr>
        <w:tab/>
      </w:r>
      <w:r>
        <w:rPr>
          <w:rFonts w:ascii="Arial" w:cs="Arial" w:eastAsia="Arial" w:hAnsi="Arial"/>
          <w:sz w:val="20"/>
          <w:szCs w:val="20"/>
          <w:color w:val="auto"/>
        </w:rPr>
        <w:t>his office or employment or consultancy contract is in or with a company of which t</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Company ceases to have Control; or</w:t>
      </w:r>
    </w:p>
    <w:p>
      <w:pPr>
        <w:spacing w:after="0" w:line="184" w:lineRule="exact"/>
        <w:rPr>
          <w:sz w:val="20"/>
          <w:szCs w:val="20"/>
          <w:color w:val="auto"/>
        </w:rPr>
      </w:pPr>
    </w:p>
    <w:p>
      <w:pPr>
        <w:jc w:val="both"/>
        <w:ind w:left="1480" w:right="120" w:hanging="369"/>
        <w:spacing w:after="0" w:line="284" w:lineRule="auto"/>
        <w:tabs>
          <w:tab w:leader="none" w:pos="154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his office or employment or consultancy contract relates to a business or part of a business which is transferred to a person who is neither an Group Member nor a company of which the Company has Control; or</w:t>
      </w:r>
    </w:p>
    <w:p>
      <w:pPr>
        <w:spacing w:after="0" w:line="130" w:lineRule="exact"/>
        <w:rPr>
          <w:rFonts w:ascii="Arial" w:cs="Arial" w:eastAsia="Arial" w:hAnsi="Arial"/>
          <w:sz w:val="19"/>
          <w:szCs w:val="19"/>
          <w:color w:val="auto"/>
        </w:rPr>
      </w:pPr>
    </w:p>
    <w:p>
      <w:pPr>
        <w:ind w:left="1480" w:right="80" w:hanging="369"/>
        <w:spacing w:after="0" w:line="257" w:lineRule="auto"/>
        <w:tabs>
          <w:tab w:leader="none" w:pos="154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by reason of cessation of his office or employment or consultancy contract for any other reason, apart from summary dismissal or termination for fraud or gross misconduct;</w:t>
      </w:r>
    </w:p>
    <w:p>
      <w:pPr>
        <w:spacing w:after="0" w:line="155" w:lineRule="exact"/>
        <w:rPr>
          <w:sz w:val="20"/>
          <w:szCs w:val="20"/>
          <w:color w:val="auto"/>
        </w:rPr>
      </w:pPr>
    </w:p>
    <w:p>
      <w:pPr>
        <w:ind w:left="720" w:right="60"/>
        <w:spacing w:after="0" w:line="257" w:lineRule="auto"/>
        <w:rPr>
          <w:sz w:val="20"/>
          <w:szCs w:val="20"/>
          <w:color w:val="auto"/>
        </w:rPr>
      </w:pPr>
      <w:r>
        <w:rPr>
          <w:rFonts w:ascii="Arial" w:cs="Arial" w:eastAsia="Arial" w:hAnsi="Arial"/>
          <w:sz w:val="20"/>
          <w:szCs w:val="20"/>
          <w:color w:val="auto"/>
        </w:rPr>
        <w:t>then any Award held by him may be exercised, always only to the extent Vested at the time when the Participant ceased to be an Engaged Person, at any time prior to the earlier of:</w:t>
      </w:r>
    </w:p>
    <w:p>
      <w:pPr>
        <w:spacing w:after="0" w:line="155" w:lineRule="exact"/>
        <w:rPr>
          <w:sz w:val="20"/>
          <w:szCs w:val="20"/>
          <w:color w:val="auto"/>
        </w:rPr>
      </w:pPr>
    </w:p>
    <w:p>
      <w:pPr>
        <w:ind w:left="1120" w:right="80" w:hanging="383"/>
        <w:spacing w:after="0" w:line="243" w:lineRule="auto"/>
        <w:tabs>
          <w:tab w:leader="none" w:pos="1120" w:val="left"/>
        </w:tabs>
        <w:numPr>
          <w:ilvl w:val="0"/>
          <w:numId w:val="286"/>
        </w:numPr>
        <w:rPr>
          <w:rFonts w:ascii="Calibri" w:cs="Calibri" w:eastAsia="Calibri" w:hAnsi="Calibri"/>
          <w:sz w:val="20"/>
          <w:szCs w:val="20"/>
          <w:color w:val="auto"/>
        </w:rPr>
      </w:pPr>
      <w:r>
        <w:rPr>
          <w:rFonts w:ascii="Arial" w:cs="Arial" w:eastAsia="Arial" w:hAnsi="Arial"/>
          <w:sz w:val="20"/>
          <w:szCs w:val="20"/>
          <w:color w:val="auto"/>
        </w:rPr>
        <w:t>the expiry of the period of 12 months (or such longer period as the Committee may determine) after such cessation; and</w:t>
      </w:r>
    </w:p>
    <w:p>
      <w:pPr>
        <w:spacing w:after="0" w:line="167" w:lineRule="exact"/>
        <w:rPr>
          <w:rFonts w:ascii="Calibri" w:cs="Calibri" w:eastAsia="Calibri" w:hAnsi="Calibri"/>
          <w:sz w:val="20"/>
          <w:szCs w:val="20"/>
          <w:color w:val="auto"/>
        </w:rPr>
      </w:pPr>
    </w:p>
    <w:p>
      <w:pPr>
        <w:ind w:left="1000" w:hanging="268"/>
        <w:spacing w:after="0"/>
        <w:tabs>
          <w:tab w:leader="none" w:pos="10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the expiry of the Exercise Period;</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and any Award not so exercised shall automatically lapse.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For the avoidance of doubt:-</w:t>
      </w:r>
    </w:p>
    <w:p>
      <w:pPr>
        <w:spacing w:after="0" w:line="202" w:lineRule="exact"/>
        <w:rPr>
          <w:sz w:val="20"/>
          <w:szCs w:val="20"/>
          <w:color w:val="auto"/>
        </w:rPr>
      </w:pPr>
    </w:p>
    <w:p>
      <w:pPr>
        <w:ind w:left="1480" w:right="60" w:hanging="369"/>
        <w:spacing w:after="0" w:line="256" w:lineRule="auto"/>
        <w:tabs>
          <w:tab w:leader="none" w:pos="1480" w:val="left"/>
        </w:tabs>
        <w:numPr>
          <w:ilvl w:val="0"/>
          <w:numId w:val="287"/>
        </w:numPr>
        <w:rPr>
          <w:rFonts w:ascii="Times New Roman" w:cs="Times New Roman" w:eastAsia="Times New Roman" w:hAnsi="Times New Roman"/>
          <w:sz w:val="20"/>
          <w:szCs w:val="20"/>
          <w:color w:val="auto"/>
        </w:rPr>
      </w:pPr>
      <w:r>
        <w:rPr>
          <w:rFonts w:ascii="Arial" w:cs="Arial" w:eastAsia="Arial" w:hAnsi="Arial"/>
          <w:sz w:val="20"/>
          <w:szCs w:val="20"/>
          <w:color w:val="auto"/>
        </w:rPr>
        <w:t>where a Participant ceases to be an Engaged Person any part of an Award which has not vested shall lapse forthwith subject to Rule 11.1; and/or</w:t>
      </w:r>
    </w:p>
    <w:p>
      <w:pPr>
        <w:spacing w:after="0" w:line="156" w:lineRule="exact"/>
        <w:rPr>
          <w:rFonts w:ascii="Times New Roman" w:cs="Times New Roman" w:eastAsia="Times New Roman" w:hAnsi="Times New Roman"/>
          <w:sz w:val="20"/>
          <w:szCs w:val="20"/>
          <w:color w:val="auto"/>
        </w:rPr>
      </w:pPr>
    </w:p>
    <w:p>
      <w:pPr>
        <w:jc w:val="both"/>
        <w:ind w:left="1480" w:right="60" w:hanging="369"/>
        <w:spacing w:after="0" w:line="236" w:lineRule="auto"/>
        <w:tabs>
          <w:tab w:leader="none" w:pos="1480" w:val="left"/>
        </w:tabs>
        <w:numPr>
          <w:ilvl w:val="0"/>
          <w:numId w:val="287"/>
        </w:numPr>
        <w:rPr>
          <w:rFonts w:ascii="Times New Roman" w:cs="Times New Roman" w:eastAsia="Times New Roman" w:hAnsi="Times New Roman"/>
          <w:sz w:val="20"/>
          <w:szCs w:val="20"/>
          <w:color w:val="auto"/>
        </w:rPr>
      </w:pPr>
      <w:r>
        <w:rPr>
          <w:rFonts w:ascii="Arial" w:cs="Arial" w:eastAsia="Arial" w:hAnsi="Arial"/>
          <w:sz w:val="20"/>
          <w:szCs w:val="20"/>
          <w:color w:val="auto"/>
        </w:rPr>
        <w:t>when a Participant ceases to be an Engaged Person due to his office, employment or consultancy contract being summarily dismissed/terminated by any member of the Group for fraud or gross misconduct any Award (whether Vested or not yet Vested) held by that person and not exercised prior to cessation shall automatically lapse on such cessation</w:t>
      </w:r>
    </w:p>
    <w:p>
      <w:pPr>
        <w:spacing w:after="0" w:line="175" w:lineRule="exact"/>
        <w:rPr>
          <w:sz w:val="20"/>
          <w:szCs w:val="20"/>
          <w:color w:val="auto"/>
        </w:rPr>
      </w:pPr>
    </w:p>
    <w:p>
      <w:pPr>
        <w:ind w:left="740" w:right="60"/>
        <w:spacing w:after="0" w:line="257" w:lineRule="auto"/>
        <w:rPr>
          <w:sz w:val="20"/>
          <w:szCs w:val="20"/>
          <w:color w:val="auto"/>
        </w:rPr>
      </w:pPr>
      <w:r>
        <w:rPr>
          <w:rFonts w:ascii="Arial" w:cs="Arial" w:eastAsia="Arial" w:hAnsi="Arial"/>
          <w:sz w:val="20"/>
          <w:szCs w:val="20"/>
          <w:color w:val="auto"/>
        </w:rPr>
        <w:t>To the extent that an Award is not exercised within the Exercise Period, it shall (regardless of any other provision of the Plan) lapse at the end of that Exercise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40" w:top="1414" w:right="279" w:bottom="1440" w:gutter="0" w:footer="0" w:header="0"/>
        </w:sectPr>
      </w:pPr>
    </w:p>
    <w:bookmarkStart w:id="294" w:name="page295"/>
    <w:bookmarkEnd w:id="294"/>
    <w:p>
      <w:pPr>
        <w:spacing w:after="0" w:line="3"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11.4</w:t>
      </w:r>
      <w:r>
        <w:rPr>
          <w:sz w:val="20"/>
          <w:szCs w:val="20"/>
          <w:color w:val="auto"/>
        </w:rPr>
        <w:tab/>
      </w:r>
      <w:r>
        <w:rPr>
          <w:rFonts w:ascii="Arial" w:cs="Arial" w:eastAsia="Arial" w:hAnsi="Arial"/>
          <w:sz w:val="19"/>
          <w:szCs w:val="19"/>
          <w:b w:val="1"/>
          <w:bCs w:val="1"/>
          <w:color w:val="auto"/>
        </w:rPr>
        <w:t>Meaning of ceasing to be an Engaged Person</w:t>
      </w:r>
    </w:p>
    <w:p>
      <w:pPr>
        <w:spacing w:after="0" w:line="227" w:lineRule="exact"/>
        <w:rPr>
          <w:sz w:val="20"/>
          <w:szCs w:val="20"/>
          <w:color w:val="auto"/>
        </w:rPr>
      </w:pPr>
    </w:p>
    <w:p>
      <w:pPr>
        <w:jc w:val="both"/>
        <w:ind w:left="740"/>
        <w:spacing w:after="0" w:line="232" w:lineRule="auto"/>
        <w:rPr>
          <w:sz w:val="20"/>
          <w:szCs w:val="20"/>
          <w:color w:val="auto"/>
        </w:rPr>
      </w:pPr>
      <w:r>
        <w:rPr>
          <w:rFonts w:ascii="Arial" w:cs="Arial" w:eastAsia="Arial" w:hAnsi="Arial"/>
          <w:sz w:val="20"/>
          <w:szCs w:val="20"/>
          <w:color w:val="auto"/>
        </w:rPr>
        <w:t>A Participant shall not be treated for the purposes of this Rule 11 as ceasing to be an Engaged Person until such time as he is no longer a director or employee of, or a Consultant to, any Group Member. If any Participant ceases to be such a director or employee before the Vesting of his Award in circumstances where he retains a statutory right to return to work then he shall be treated as not having ceased to be such a director or employee until such time (if at all) as he ceases to have such a right to return to work while not acting as an employee or director. In the case of a US Taxpayer, a Participant shall not be treated for the purposes of this Rule 11 as ceasing to be an Engaged Person unless and until the Participant has also had a "separation from service" for purposes of Section 409A.</w:t>
      </w:r>
    </w:p>
    <w:p>
      <w:pPr>
        <w:spacing w:after="0" w:line="145"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The reason for the termination of office or employment of a Participant, or the relevant consultancy contract, shall be determined by reference to Rules 11.3 regardless of whether such termination was lawful or unlawful.</w:t>
      </w:r>
    </w:p>
    <w:p>
      <w:pPr>
        <w:spacing w:after="0" w:line="153" w:lineRule="exact"/>
        <w:rPr>
          <w:sz w:val="20"/>
          <w:szCs w:val="20"/>
          <w:color w:val="auto"/>
        </w:rPr>
      </w:pPr>
    </w:p>
    <w:p>
      <w:pPr>
        <w:ind w:left="740" w:hanging="647"/>
        <w:spacing w:after="0"/>
        <w:tabs>
          <w:tab w:leader="none" w:pos="740" w:val="left"/>
        </w:tabs>
        <w:numPr>
          <w:ilvl w:val="0"/>
          <w:numId w:val="288"/>
        </w:numPr>
        <w:rPr>
          <w:rFonts w:ascii="Calibri" w:cs="Calibri" w:eastAsia="Calibri" w:hAnsi="Calibri"/>
          <w:sz w:val="20"/>
          <w:szCs w:val="20"/>
          <w:color w:val="auto"/>
        </w:rPr>
      </w:pPr>
      <w:r>
        <w:rPr>
          <w:rFonts w:ascii="Arial" w:cs="Arial" w:eastAsia="Arial" w:hAnsi="Arial"/>
          <w:sz w:val="20"/>
          <w:szCs w:val="20"/>
          <w:b w:val="1"/>
          <w:bCs w:val="1"/>
          <w:color w:val="auto"/>
        </w:rPr>
        <w:t>TAKEOVERS AND OTHER CORPORATE EVENTS</w:t>
      </w:r>
    </w:p>
    <w:p>
      <w:pPr>
        <w:spacing w:after="0" w:line="232"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12.1</w:t>
      </w:r>
      <w:r>
        <w:rPr>
          <w:sz w:val="20"/>
          <w:szCs w:val="20"/>
          <w:color w:val="auto"/>
        </w:rPr>
        <w:tab/>
      </w:r>
      <w:r>
        <w:rPr>
          <w:rFonts w:ascii="Arial" w:cs="Arial" w:eastAsia="Arial" w:hAnsi="Arial"/>
          <w:sz w:val="19"/>
          <w:szCs w:val="19"/>
          <w:b w:val="1"/>
          <w:bCs w:val="1"/>
          <w:color w:val="auto"/>
        </w:rPr>
        <w:t>General offers</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If any person (or group of persons acting in concert):</w:t>
      </w:r>
    </w:p>
    <w:p>
      <w:pPr>
        <w:spacing w:after="0" w:line="202" w:lineRule="exact"/>
        <w:rPr>
          <w:sz w:val="20"/>
          <w:szCs w:val="20"/>
          <w:color w:val="auto"/>
        </w:rPr>
      </w:pPr>
    </w:p>
    <w:p>
      <w:pPr>
        <w:ind w:left="1380" w:hanging="628"/>
        <w:spacing w:after="0" w:line="251" w:lineRule="auto"/>
        <w:tabs>
          <w:tab w:leader="none" w:pos="1380" w:val="left"/>
        </w:tabs>
        <w:numPr>
          <w:ilvl w:val="0"/>
          <w:numId w:val="289"/>
        </w:numPr>
        <w:rPr>
          <w:rFonts w:ascii="Calibri" w:cs="Calibri" w:eastAsia="Calibri" w:hAnsi="Calibri"/>
          <w:sz w:val="18"/>
          <w:szCs w:val="18"/>
          <w:color w:val="auto"/>
        </w:rPr>
      </w:pPr>
      <w:r>
        <w:rPr>
          <w:rFonts w:ascii="Arial" w:cs="Arial" w:eastAsia="Arial" w:hAnsi="Arial"/>
          <w:sz w:val="20"/>
          <w:szCs w:val="20"/>
          <w:color w:val="auto"/>
        </w:rPr>
        <w:t>obtains (or, in the reasonable opinion of the Committee, is expected to obtain) Control of the Company as a result of making a general offer to acquire Shares; or</w:t>
      </w:r>
    </w:p>
    <w:p>
      <w:pPr>
        <w:spacing w:after="0" w:line="174" w:lineRule="exact"/>
        <w:rPr>
          <w:rFonts w:ascii="Calibri" w:cs="Calibri" w:eastAsia="Calibri" w:hAnsi="Calibri"/>
          <w:sz w:val="18"/>
          <w:szCs w:val="18"/>
          <w:color w:val="auto"/>
        </w:rPr>
      </w:pPr>
    </w:p>
    <w:p>
      <w:pPr>
        <w:ind w:left="1380" w:right="20" w:hanging="628"/>
        <w:spacing w:after="0" w:line="251" w:lineRule="auto"/>
        <w:tabs>
          <w:tab w:leader="none" w:pos="1380" w:val="left"/>
        </w:tabs>
        <w:numPr>
          <w:ilvl w:val="0"/>
          <w:numId w:val="289"/>
        </w:numPr>
        <w:rPr>
          <w:rFonts w:ascii="Calibri" w:cs="Calibri" w:eastAsia="Calibri" w:hAnsi="Calibri"/>
          <w:sz w:val="18"/>
          <w:szCs w:val="18"/>
          <w:color w:val="auto"/>
        </w:rPr>
      </w:pPr>
      <w:r>
        <w:rPr>
          <w:rFonts w:ascii="Arial" w:cs="Arial" w:eastAsia="Arial" w:hAnsi="Arial"/>
          <w:sz w:val="20"/>
          <w:szCs w:val="20"/>
          <w:color w:val="auto"/>
        </w:rPr>
        <w:t>having obtained Control of the Company makes such an offer and such offer becomes unconditional in all respects</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the Committee shall within 7 days of becoming aware of that event or forming such opinion (as applicable) notify every</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Participant accordingly and, subject to Rule 12.4 (</w:t>
      </w:r>
      <w:r>
        <w:rPr>
          <w:rFonts w:ascii="Arial" w:cs="Arial" w:eastAsia="Arial" w:hAnsi="Arial"/>
          <w:sz w:val="20"/>
          <w:szCs w:val="20"/>
          <w:i w:val="1"/>
          <w:iCs w:val="1"/>
          <w:color w:val="auto"/>
        </w:rPr>
        <w:t>Internal reorganisations</w:t>
      </w:r>
      <w:r>
        <w:rPr>
          <w:rFonts w:ascii="Arial" w:cs="Arial" w:eastAsia="Arial" w:hAnsi="Arial"/>
          <w:sz w:val="20"/>
          <w:szCs w:val="20"/>
          <w:color w:val="auto"/>
        </w:rPr>
        <w:t>), the following provisions shall apply:</w:t>
      </w:r>
    </w:p>
    <w:p>
      <w:pPr>
        <w:spacing w:after="0" w:line="171" w:lineRule="exact"/>
        <w:rPr>
          <w:sz w:val="20"/>
          <w:szCs w:val="20"/>
          <w:color w:val="auto"/>
        </w:rPr>
      </w:pPr>
    </w:p>
    <w:p>
      <w:pPr>
        <w:jc w:val="both"/>
        <w:ind w:left="1380" w:hanging="628"/>
        <w:spacing w:after="0" w:line="235" w:lineRule="auto"/>
        <w:tabs>
          <w:tab w:leader="none" w:pos="1380" w:val="left"/>
        </w:tabs>
        <w:numPr>
          <w:ilvl w:val="0"/>
          <w:numId w:val="290"/>
        </w:numPr>
        <w:rPr>
          <w:rFonts w:ascii="Calibri" w:cs="Calibri" w:eastAsia="Calibri" w:hAnsi="Calibri"/>
          <w:sz w:val="18"/>
          <w:szCs w:val="18"/>
          <w:color w:val="auto"/>
        </w:rPr>
      </w:pPr>
      <w:r>
        <w:rPr>
          <w:rFonts w:ascii="Arial" w:cs="Arial" w:eastAsia="Arial" w:hAnsi="Arial"/>
          <w:sz w:val="20"/>
          <w:szCs w:val="20"/>
          <w:color w:val="auto"/>
        </w:rPr>
        <w:t>subject to Rule 6.3 (</w:t>
      </w:r>
      <w:r>
        <w:rPr>
          <w:rFonts w:ascii="Arial" w:cs="Arial" w:eastAsia="Arial" w:hAnsi="Arial"/>
          <w:sz w:val="20"/>
          <w:szCs w:val="20"/>
          <w:i w:val="1"/>
          <w:iCs w:val="1"/>
          <w:color w:val="auto"/>
        </w:rPr>
        <w:t>Restrictions on Vesting: tax issues</w:t>
      </w:r>
      <w:r>
        <w:rPr>
          <w:rFonts w:ascii="Arial" w:cs="Arial" w:eastAsia="Arial" w:hAnsi="Arial"/>
          <w:sz w:val="20"/>
          <w:szCs w:val="20"/>
          <w:color w:val="auto"/>
        </w:rPr>
        <w:t>), all Awards shall Vest on such date as the Committee may determine (being no later than the date of the change in Control of the Company or the offer becoming unconditional in all respects, as applicable) (such date being the Early Vesting Date) if they have not then Vested and Rule 12.5 (</w:t>
      </w:r>
      <w:r>
        <w:rPr>
          <w:rFonts w:ascii="Arial" w:cs="Arial" w:eastAsia="Arial" w:hAnsi="Arial"/>
          <w:sz w:val="20"/>
          <w:szCs w:val="20"/>
          <w:i w:val="1"/>
          <w:iCs w:val="1"/>
          <w:color w:val="auto"/>
        </w:rPr>
        <w:t>Corporate events: reduction in number of Vested Shares</w:t>
      </w:r>
      <w:r>
        <w:rPr>
          <w:rFonts w:ascii="Arial" w:cs="Arial" w:eastAsia="Arial" w:hAnsi="Arial"/>
          <w:sz w:val="20"/>
          <w:szCs w:val="20"/>
          <w:color w:val="auto"/>
        </w:rPr>
        <w:t>) shall apply; and</w:t>
      </w:r>
    </w:p>
    <w:p>
      <w:pPr>
        <w:spacing w:after="0" w:line="146" w:lineRule="exact"/>
        <w:rPr>
          <w:rFonts w:ascii="Calibri" w:cs="Calibri" w:eastAsia="Calibri" w:hAnsi="Calibri"/>
          <w:sz w:val="18"/>
          <w:szCs w:val="18"/>
          <w:color w:val="auto"/>
        </w:rPr>
      </w:pPr>
    </w:p>
    <w:p>
      <w:pPr>
        <w:jc w:val="both"/>
        <w:ind w:left="1380" w:hanging="628"/>
        <w:spacing w:after="0" w:line="232" w:lineRule="auto"/>
        <w:tabs>
          <w:tab w:leader="none" w:pos="1380" w:val="left"/>
        </w:tabs>
        <w:numPr>
          <w:ilvl w:val="0"/>
          <w:numId w:val="290"/>
        </w:numPr>
        <w:rPr>
          <w:rFonts w:ascii="Calibri" w:cs="Calibri" w:eastAsia="Calibri" w:hAnsi="Calibri"/>
          <w:sz w:val="18"/>
          <w:szCs w:val="18"/>
          <w:color w:val="auto"/>
        </w:rPr>
      </w:pPr>
      <w:r>
        <w:rPr>
          <w:rFonts w:ascii="Arial" w:cs="Arial" w:eastAsia="Arial" w:hAnsi="Arial"/>
          <w:sz w:val="20"/>
          <w:szCs w:val="20"/>
          <w:color w:val="auto"/>
        </w:rPr>
        <w:t>any Option may, subject to Rule 8.1 (</w:t>
      </w:r>
      <w:r>
        <w:rPr>
          <w:rFonts w:ascii="Arial" w:cs="Arial" w:eastAsia="Arial" w:hAnsi="Arial"/>
          <w:sz w:val="20"/>
          <w:szCs w:val="20"/>
          <w:i w:val="1"/>
          <w:iCs w:val="1"/>
          <w:color w:val="auto"/>
        </w:rPr>
        <w:t>Restrictions on the exercise of an Option: regulatory and tax issues</w:t>
      </w:r>
      <w:r>
        <w:rPr>
          <w:rFonts w:ascii="Arial" w:cs="Arial" w:eastAsia="Arial" w:hAnsi="Arial"/>
          <w:sz w:val="20"/>
          <w:szCs w:val="20"/>
          <w:color w:val="auto"/>
        </w:rPr>
        <w:t>), be exercised within one month of the Early Vesting Date (or such shorter period of time approved by the Committee, not to be less than five days), except for RSU-style Options, which shall be automatically exercised to the full extent of the Vested Shares upon the Early Vesting Date, but to the extent that an Option is not exercised within that period, that Option shall (regardless of any other provision of the Plan) lapse at the end of that period.</w:t>
      </w:r>
    </w:p>
    <w:p>
      <w:pPr>
        <w:spacing w:after="0" w:line="161"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12.2</w:t>
      </w:r>
      <w:r>
        <w:rPr>
          <w:sz w:val="20"/>
          <w:szCs w:val="20"/>
          <w:color w:val="auto"/>
        </w:rPr>
        <w:tab/>
      </w:r>
      <w:r>
        <w:rPr>
          <w:rFonts w:ascii="Arial" w:cs="Arial" w:eastAsia="Arial" w:hAnsi="Arial"/>
          <w:sz w:val="19"/>
          <w:szCs w:val="19"/>
          <w:b w:val="1"/>
          <w:bCs w:val="1"/>
          <w:color w:val="auto"/>
        </w:rPr>
        <w:t>Schemes of arrangement and winding up</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the event that:</w:t>
      </w:r>
    </w:p>
    <w:p>
      <w:pPr>
        <w:spacing w:after="0" w:line="216" w:lineRule="exact"/>
        <w:rPr>
          <w:sz w:val="20"/>
          <w:szCs w:val="20"/>
          <w:color w:val="auto"/>
        </w:rPr>
      </w:pPr>
    </w:p>
    <w:p>
      <w:pPr>
        <w:ind w:left="1380" w:hanging="628"/>
        <w:spacing w:after="0" w:line="251" w:lineRule="auto"/>
        <w:tabs>
          <w:tab w:leader="none" w:pos="1380" w:val="left"/>
        </w:tabs>
        <w:numPr>
          <w:ilvl w:val="0"/>
          <w:numId w:val="291"/>
        </w:numPr>
        <w:rPr>
          <w:rFonts w:ascii="Calibri" w:cs="Calibri" w:eastAsia="Calibri" w:hAnsi="Calibri"/>
          <w:sz w:val="18"/>
          <w:szCs w:val="18"/>
          <w:color w:val="auto"/>
        </w:rPr>
      </w:pPr>
      <w:r>
        <w:rPr>
          <w:rFonts w:ascii="Arial" w:cs="Arial" w:eastAsia="Arial" w:hAnsi="Arial"/>
          <w:sz w:val="20"/>
          <w:szCs w:val="20"/>
          <w:color w:val="auto"/>
        </w:rPr>
        <w:t>a compromise or arrangement is sanctioned by the Court under section 899 of the Companies Act 2006 in connection with or for the purposes of a change in Control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95" w:name="page296"/>
    <w:bookmarkEnd w:id="295"/>
    <w:p>
      <w:pPr>
        <w:ind w:left="1400" w:hanging="648"/>
        <w:spacing w:after="0"/>
        <w:tabs>
          <w:tab w:leader="none" w:pos="1400" w:val="left"/>
        </w:tabs>
        <w:numPr>
          <w:ilvl w:val="0"/>
          <w:numId w:val="292"/>
        </w:numPr>
        <w:rPr>
          <w:rFonts w:ascii="Calibri" w:cs="Calibri" w:eastAsia="Calibri" w:hAnsi="Calibri"/>
          <w:sz w:val="18"/>
          <w:szCs w:val="18"/>
          <w:color w:val="auto"/>
        </w:rPr>
      </w:pPr>
      <w:r>
        <w:rPr>
          <w:rFonts w:ascii="Arial" w:cs="Arial" w:eastAsia="Arial" w:hAnsi="Arial"/>
          <w:sz w:val="20"/>
          <w:szCs w:val="20"/>
          <w:color w:val="auto"/>
        </w:rPr>
        <w:t>the Company passes a resolution for a voluntary winding up of the Company; or</w:t>
      </w:r>
    </w:p>
    <w:p>
      <w:pPr>
        <w:spacing w:after="0" w:line="223" w:lineRule="exact"/>
        <w:rPr>
          <w:rFonts w:ascii="Calibri" w:cs="Calibri" w:eastAsia="Calibri" w:hAnsi="Calibri"/>
          <w:sz w:val="18"/>
          <w:szCs w:val="18"/>
          <w:color w:val="auto"/>
        </w:rPr>
      </w:pPr>
    </w:p>
    <w:p>
      <w:pPr>
        <w:ind w:left="1400" w:hanging="648"/>
        <w:spacing w:after="0"/>
        <w:tabs>
          <w:tab w:leader="none" w:pos="1400" w:val="left"/>
        </w:tabs>
        <w:numPr>
          <w:ilvl w:val="0"/>
          <w:numId w:val="292"/>
        </w:numPr>
        <w:rPr>
          <w:rFonts w:ascii="Calibri" w:cs="Calibri" w:eastAsia="Calibri" w:hAnsi="Calibri"/>
          <w:sz w:val="18"/>
          <w:szCs w:val="18"/>
          <w:color w:val="auto"/>
        </w:rPr>
      </w:pPr>
      <w:r>
        <w:rPr>
          <w:rFonts w:ascii="Arial" w:cs="Arial" w:eastAsia="Arial" w:hAnsi="Arial"/>
          <w:sz w:val="20"/>
          <w:szCs w:val="20"/>
          <w:color w:val="auto"/>
        </w:rPr>
        <w:t>an order is made for the compulsory winding up of the Company</w:t>
      </w:r>
    </w:p>
    <w:p>
      <w:pPr>
        <w:spacing w:after="0" w:line="210" w:lineRule="exact"/>
        <w:rPr>
          <w:sz w:val="20"/>
          <w:szCs w:val="20"/>
          <w:color w:val="auto"/>
        </w:rPr>
      </w:pPr>
    </w:p>
    <w:p>
      <w:pPr>
        <w:jc w:val="both"/>
        <w:ind w:left="740"/>
        <w:spacing w:after="0" w:line="252" w:lineRule="auto"/>
        <w:rPr>
          <w:sz w:val="20"/>
          <w:szCs w:val="20"/>
          <w:color w:val="auto"/>
        </w:rPr>
      </w:pPr>
      <w:r>
        <w:rPr>
          <w:rFonts w:ascii="Arial" w:cs="Arial" w:eastAsia="Arial" w:hAnsi="Arial"/>
          <w:sz w:val="19"/>
          <w:szCs w:val="19"/>
          <w:color w:val="auto"/>
        </w:rPr>
        <w:t>or, in the reasonable opinion of the Committee, any of the above events is expected to occur, all Awards shall, subject to Rule 6.3 (</w:t>
      </w:r>
      <w:r>
        <w:rPr>
          <w:rFonts w:ascii="Arial" w:cs="Arial" w:eastAsia="Arial" w:hAnsi="Arial"/>
          <w:sz w:val="19"/>
          <w:szCs w:val="19"/>
          <w:i w:val="1"/>
          <w:iCs w:val="1"/>
          <w:color w:val="auto"/>
        </w:rPr>
        <w:t>Restrictions on Vesting: tax issues</w:t>
      </w:r>
      <w:r>
        <w:rPr>
          <w:rFonts w:ascii="Arial" w:cs="Arial" w:eastAsia="Arial" w:hAnsi="Arial"/>
          <w:sz w:val="19"/>
          <w:szCs w:val="19"/>
          <w:color w:val="auto"/>
        </w:rPr>
        <w:t>) and Rule 12.4 (</w:t>
      </w:r>
      <w:r>
        <w:rPr>
          <w:rFonts w:ascii="Arial" w:cs="Arial" w:eastAsia="Arial" w:hAnsi="Arial"/>
          <w:sz w:val="19"/>
          <w:szCs w:val="19"/>
          <w:i w:val="1"/>
          <w:iCs w:val="1"/>
          <w:color w:val="auto"/>
        </w:rPr>
        <w:t>Internal reorganisations</w:t>
      </w:r>
      <w:r>
        <w:rPr>
          <w:rFonts w:ascii="Arial" w:cs="Arial" w:eastAsia="Arial" w:hAnsi="Arial"/>
          <w:sz w:val="19"/>
          <w:szCs w:val="19"/>
          <w:color w:val="auto"/>
        </w:rPr>
        <w:t>), Vest on such date as the Committee may determine (being no later than the date of such event) (such date being the Early Vesting Date) if they have not then Vested and Rule 12.5 (C</w:t>
      </w:r>
      <w:r>
        <w:rPr>
          <w:rFonts w:ascii="Arial" w:cs="Arial" w:eastAsia="Arial" w:hAnsi="Arial"/>
          <w:sz w:val="19"/>
          <w:szCs w:val="19"/>
          <w:i w:val="1"/>
          <w:iCs w:val="1"/>
          <w:color w:val="auto"/>
        </w:rPr>
        <w:t>orporate events: reduction in number of Vested Shares</w:t>
      </w:r>
      <w:r>
        <w:rPr>
          <w:rFonts w:ascii="Arial" w:cs="Arial" w:eastAsia="Arial" w:hAnsi="Arial"/>
          <w:sz w:val="19"/>
          <w:szCs w:val="19"/>
          <w:color w:val="auto"/>
        </w:rPr>
        <w:t>) shall apply.</w:t>
      </w:r>
    </w:p>
    <w:p>
      <w:pPr>
        <w:spacing w:after="0" w:line="135" w:lineRule="exact"/>
        <w:rPr>
          <w:sz w:val="20"/>
          <w:szCs w:val="20"/>
          <w:color w:val="auto"/>
        </w:rPr>
      </w:pPr>
    </w:p>
    <w:p>
      <w:pPr>
        <w:jc w:val="both"/>
        <w:ind w:left="740"/>
        <w:spacing w:after="0" w:line="233" w:lineRule="auto"/>
        <w:rPr>
          <w:sz w:val="20"/>
          <w:szCs w:val="20"/>
          <w:color w:val="auto"/>
        </w:rPr>
      </w:pPr>
      <w:r>
        <w:rPr>
          <w:rFonts w:ascii="Arial" w:cs="Arial" w:eastAsia="Arial" w:hAnsi="Arial"/>
          <w:sz w:val="20"/>
          <w:szCs w:val="20"/>
          <w:color w:val="auto"/>
        </w:rPr>
        <w:t>If an event as described in this Rule 12.2 occurs (or, in the reasonable opinion of the Committee, is expected to occur) then an Option may, subject to Rule 8.1 (</w:t>
      </w:r>
      <w:r>
        <w:rPr>
          <w:rFonts w:ascii="Arial" w:cs="Arial" w:eastAsia="Arial" w:hAnsi="Arial"/>
          <w:sz w:val="20"/>
          <w:szCs w:val="20"/>
          <w:i w:val="1"/>
          <w:iCs w:val="1"/>
          <w:color w:val="auto"/>
        </w:rPr>
        <w:t>Restrictions on the exercise of an Option: regulatory and tax issues</w:t>
      </w:r>
      <w:r>
        <w:rPr>
          <w:rFonts w:ascii="Arial" w:cs="Arial" w:eastAsia="Arial" w:hAnsi="Arial"/>
          <w:sz w:val="20"/>
          <w:szCs w:val="20"/>
          <w:color w:val="auto"/>
        </w:rPr>
        <w:t>) and Rule 12.4 (</w:t>
      </w:r>
      <w:r>
        <w:rPr>
          <w:rFonts w:ascii="Arial" w:cs="Arial" w:eastAsia="Arial" w:hAnsi="Arial"/>
          <w:sz w:val="20"/>
          <w:szCs w:val="20"/>
          <w:i w:val="1"/>
          <w:iCs w:val="1"/>
          <w:color w:val="auto"/>
        </w:rPr>
        <w:t>Internal reorganisations</w:t>
      </w:r>
      <w:r>
        <w:rPr>
          <w:rFonts w:ascii="Arial" w:cs="Arial" w:eastAsia="Arial" w:hAnsi="Arial"/>
          <w:sz w:val="20"/>
          <w:szCs w:val="20"/>
          <w:color w:val="auto"/>
        </w:rPr>
        <w:t>), be exercised within one month of the Early Vesting Date (except for RSU- style Options, which shall be automatically exercised to the full extent of the Vested Shares upon the Early Vesting Date), but to the extent that the Option is not exercised within that period, it shall (regardless of any other provision of the Plan) lapse at the end of that period.</w:t>
      </w:r>
    </w:p>
    <w:p>
      <w:pPr>
        <w:spacing w:after="0" w:line="161"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12.3</w:t>
      </w:r>
      <w:r>
        <w:rPr>
          <w:sz w:val="20"/>
          <w:szCs w:val="20"/>
          <w:color w:val="auto"/>
        </w:rPr>
        <w:tab/>
      </w:r>
      <w:r>
        <w:rPr>
          <w:rFonts w:ascii="Arial" w:cs="Arial" w:eastAsia="Arial" w:hAnsi="Arial"/>
          <w:sz w:val="19"/>
          <w:szCs w:val="19"/>
          <w:b w:val="1"/>
          <w:bCs w:val="1"/>
          <w:color w:val="auto"/>
        </w:rPr>
        <w:t>Demergers and similar events</w:t>
      </w:r>
    </w:p>
    <w:p>
      <w:pPr>
        <w:sectPr>
          <w:pgSz w:w="11900" w:h="16838" w:orient="portrait"/>
          <w:cols w:equalWidth="0" w:num="1">
            <w:col w:w="11100"/>
          </w:cols>
          <w:pgMar w:left="340" w:top="1414" w:right="459" w:bottom="1440" w:gutter="0" w:footer="0" w:header="0"/>
        </w:sectPr>
      </w:pPr>
    </w:p>
    <w:p>
      <w:pPr>
        <w:spacing w:after="0" w:line="227"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If a demerger, special dividend or other similar event (the Committee, would affect the market price of Shares to a decide that the following provisions shall apply: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hanging="10"/>
        <w:spacing w:after="0" w:line="259" w:lineRule="auto"/>
        <w:rPr>
          <w:sz w:val="20"/>
          <w:szCs w:val="20"/>
          <w:color w:val="auto"/>
        </w:rPr>
      </w:pPr>
      <w:r>
        <w:rPr>
          <w:rFonts w:ascii="Arial" w:cs="Arial" w:eastAsia="Arial" w:hAnsi="Arial"/>
          <w:sz w:val="20"/>
          <w:szCs w:val="20"/>
          <w:b w:val="1"/>
          <w:bCs w:val="1"/>
          <w:color w:val="auto"/>
        </w:rPr>
        <w:t>"Relevant Event"</w:t>
      </w:r>
      <w:r>
        <w:rPr>
          <w:rFonts w:ascii="Arial" w:cs="Arial" w:eastAsia="Arial" w:hAnsi="Arial"/>
          <w:sz w:val="20"/>
          <w:szCs w:val="20"/>
          <w:color w:val="auto"/>
        </w:rPr>
        <w:t>) is proposed which, in the opinion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extent, then the Committee may, at its discretion,</w:t>
      </w:r>
    </w:p>
    <w:p>
      <w:pPr>
        <w:spacing w:after="0" w:line="369" w:lineRule="exact"/>
        <w:rPr>
          <w:sz w:val="20"/>
          <w:szCs w:val="20"/>
          <w:color w:val="auto"/>
        </w:rPr>
      </w:pPr>
    </w:p>
    <w:p>
      <w:pPr>
        <w:sectPr>
          <w:pgSz w:w="11900" w:h="16838" w:orient="portrait"/>
          <w:cols w:equalWidth="0" w:num="2">
            <w:col w:w="5800" w:space="80"/>
            <w:col w:w="5220"/>
          </w:cols>
          <w:pgMar w:left="340" w:top="1414" w:right="459" w:bottom="1440" w:gutter="0" w:footer="0" w:header="0"/>
          <w:type w:val="continuous"/>
        </w:sectPr>
      </w:pPr>
    </w:p>
    <w:p>
      <w:pPr>
        <w:jc w:val="both"/>
        <w:ind w:left="1380" w:hanging="628"/>
        <w:spacing w:after="0" w:line="233" w:lineRule="auto"/>
        <w:tabs>
          <w:tab w:leader="none" w:pos="1380" w:val="left"/>
        </w:tabs>
        <w:numPr>
          <w:ilvl w:val="0"/>
          <w:numId w:val="293"/>
        </w:numPr>
        <w:rPr>
          <w:rFonts w:ascii="Calibri" w:cs="Calibri" w:eastAsia="Calibri" w:hAnsi="Calibri"/>
          <w:sz w:val="18"/>
          <w:szCs w:val="18"/>
          <w:color w:val="auto"/>
        </w:rPr>
      </w:pPr>
      <w:r>
        <w:rPr>
          <w:rFonts w:ascii="Arial" w:cs="Arial" w:eastAsia="Arial" w:hAnsi="Arial"/>
          <w:sz w:val="20"/>
          <w:szCs w:val="20"/>
          <w:color w:val="auto"/>
        </w:rPr>
        <w:t>the Committee shall, as soon as reasonably practicable after deciding to apply these provisions, notify a Participant that, subject to earlier lapse under Rule 11, his Award Vests and, if relevant, his Option may be exercised on such terms as the Committee may determine and during such period preceding the Relevant Event or on the Relevant Event as the Committee may determine and shall lapse at the end of that period to the extent unexercised;</w:t>
      </w:r>
    </w:p>
    <w:p>
      <w:pPr>
        <w:spacing w:after="0" w:line="187"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293"/>
        </w:numPr>
        <w:rPr>
          <w:rFonts w:ascii="Calibri" w:cs="Calibri" w:eastAsia="Calibri" w:hAnsi="Calibri"/>
          <w:sz w:val="18"/>
          <w:szCs w:val="18"/>
          <w:color w:val="auto"/>
        </w:rPr>
      </w:pPr>
      <w:r>
        <w:rPr>
          <w:rFonts w:ascii="Arial" w:cs="Arial" w:eastAsia="Arial" w:hAnsi="Arial"/>
          <w:sz w:val="20"/>
          <w:szCs w:val="20"/>
          <w:color w:val="auto"/>
        </w:rPr>
        <w:t>if an Award Vests, or an Option is exercised, conditional upon the Relevant Event and such event does not occur then the conditional Vesting or exercise shall not be effective and the Award shall continue to subsist; and</w:t>
      </w:r>
    </w:p>
    <w:p>
      <w:pPr>
        <w:spacing w:after="0" w:line="171"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293"/>
        </w:numPr>
        <w:rPr>
          <w:rFonts w:ascii="Calibri" w:cs="Calibri" w:eastAsia="Calibri" w:hAnsi="Calibri"/>
          <w:sz w:val="18"/>
          <w:szCs w:val="18"/>
          <w:color w:val="auto"/>
        </w:rPr>
      </w:pPr>
      <w:r>
        <w:rPr>
          <w:rFonts w:ascii="Arial" w:cs="Arial" w:eastAsia="Arial" w:hAnsi="Arial"/>
          <w:sz w:val="20"/>
          <w:szCs w:val="20"/>
          <w:color w:val="auto"/>
        </w:rPr>
        <w:t>if the Committee decides that an Award Vests under this Rule 12.3 then the date of that Vesting shall be the Early Vesting Date and the provisions of Rule 12.5 (</w:t>
      </w:r>
      <w:r>
        <w:rPr>
          <w:rFonts w:ascii="Arial" w:cs="Arial" w:eastAsia="Arial" w:hAnsi="Arial"/>
          <w:sz w:val="20"/>
          <w:szCs w:val="20"/>
          <w:i w:val="1"/>
          <w:iCs w:val="1"/>
          <w:color w:val="auto"/>
        </w:rPr>
        <w:t>Corporate events: reduction in number of Vested Shares</w:t>
      </w:r>
      <w:r>
        <w:rPr>
          <w:rFonts w:ascii="Arial" w:cs="Arial" w:eastAsia="Arial" w:hAnsi="Arial"/>
          <w:sz w:val="20"/>
          <w:szCs w:val="20"/>
          <w:color w:val="auto"/>
        </w:rPr>
        <w:t>) shall apply.</w:t>
      </w:r>
    </w:p>
    <w:p>
      <w:pPr>
        <w:spacing w:after="0" w:line="173"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12.4</w:t>
      </w:r>
      <w:r>
        <w:rPr>
          <w:sz w:val="20"/>
          <w:szCs w:val="20"/>
          <w:color w:val="auto"/>
        </w:rPr>
        <w:tab/>
      </w:r>
      <w:r>
        <w:rPr>
          <w:rFonts w:ascii="Arial" w:cs="Arial" w:eastAsia="Arial" w:hAnsi="Arial"/>
          <w:sz w:val="19"/>
          <w:szCs w:val="19"/>
          <w:b w:val="1"/>
          <w:bCs w:val="1"/>
          <w:color w:val="auto"/>
        </w:rPr>
        <w:t>Internal reorganisations</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the event that:</w:t>
      </w:r>
    </w:p>
    <w:p>
      <w:pPr>
        <w:spacing w:after="0" w:line="200" w:lineRule="exact"/>
        <w:rPr>
          <w:sz w:val="20"/>
          <w:szCs w:val="20"/>
          <w:color w:val="auto"/>
        </w:rPr>
      </w:pPr>
    </w:p>
    <w:p>
      <w:pPr>
        <w:jc w:val="both"/>
        <w:ind w:left="1380" w:hanging="628"/>
        <w:spacing w:after="0" w:line="239" w:lineRule="auto"/>
        <w:tabs>
          <w:tab w:leader="none" w:pos="1380" w:val="left"/>
        </w:tabs>
        <w:numPr>
          <w:ilvl w:val="0"/>
          <w:numId w:val="294"/>
        </w:numPr>
        <w:rPr>
          <w:rFonts w:ascii="Calibri" w:cs="Calibri" w:eastAsia="Calibri" w:hAnsi="Calibri"/>
          <w:sz w:val="18"/>
          <w:szCs w:val="18"/>
          <w:color w:val="auto"/>
        </w:rPr>
      </w:pPr>
      <w:r>
        <w:rPr>
          <w:rFonts w:ascii="Arial" w:cs="Arial" w:eastAsia="Arial" w:hAnsi="Arial"/>
          <w:sz w:val="20"/>
          <w:szCs w:val="20"/>
          <w:color w:val="auto"/>
        </w:rPr>
        <w:t xml:space="preserve">a company (the </w:t>
      </w:r>
      <w:r>
        <w:rPr>
          <w:rFonts w:ascii="Arial" w:cs="Arial" w:eastAsia="Arial" w:hAnsi="Arial"/>
          <w:sz w:val="20"/>
          <w:szCs w:val="20"/>
          <w:b w:val="1"/>
          <w:bCs w:val="1"/>
          <w:color w:val="auto"/>
        </w:rPr>
        <w:t>"Acquiring Company"</w:t>
      </w:r>
      <w:r>
        <w:rPr>
          <w:rFonts w:ascii="Arial" w:cs="Arial" w:eastAsia="Arial" w:hAnsi="Arial"/>
          <w:sz w:val="20"/>
          <w:szCs w:val="20"/>
          <w:color w:val="auto"/>
        </w:rPr>
        <w:t>) is expected to obtain Control of the Company as a result of an offer referred to in Rule 12.1 (</w:t>
      </w:r>
      <w:r>
        <w:rPr>
          <w:rFonts w:ascii="Arial" w:cs="Arial" w:eastAsia="Arial" w:hAnsi="Arial"/>
          <w:sz w:val="20"/>
          <w:szCs w:val="20"/>
          <w:i w:val="1"/>
          <w:iCs w:val="1"/>
          <w:color w:val="auto"/>
        </w:rPr>
        <w:t>General offers</w:t>
      </w:r>
      <w:r>
        <w:rPr>
          <w:rFonts w:ascii="Arial" w:cs="Arial" w:eastAsia="Arial" w:hAnsi="Arial"/>
          <w:sz w:val="20"/>
          <w:szCs w:val="20"/>
          <w:color w:val="auto"/>
        </w:rPr>
        <w:t>) or a compromise or arrangement referred to in Rule 12.2(a) (</w:t>
      </w:r>
      <w:r>
        <w:rPr>
          <w:rFonts w:ascii="Arial" w:cs="Arial" w:eastAsia="Arial" w:hAnsi="Arial"/>
          <w:sz w:val="20"/>
          <w:szCs w:val="20"/>
          <w:i w:val="1"/>
          <w:iCs w:val="1"/>
          <w:color w:val="auto"/>
        </w:rPr>
        <w:t>Schemes</w:t>
      </w:r>
      <w:r>
        <w:rPr>
          <w:rFonts w:ascii="Arial" w:cs="Arial" w:eastAsia="Arial" w:hAnsi="Arial"/>
          <w:sz w:val="20"/>
          <w:szCs w:val="20"/>
          <w:color w:val="auto"/>
        </w:rPr>
        <w:t xml:space="preserve"> </w:t>
      </w:r>
      <w:r>
        <w:rPr>
          <w:rFonts w:ascii="Arial" w:cs="Arial" w:eastAsia="Arial" w:hAnsi="Arial"/>
          <w:sz w:val="20"/>
          <w:szCs w:val="20"/>
          <w:i w:val="1"/>
          <w:iCs w:val="1"/>
          <w:color w:val="auto"/>
        </w:rPr>
        <w:t>of arrangement and winding up</w:t>
      </w:r>
      <w:r>
        <w:rPr>
          <w:rFonts w:ascii="Arial" w:cs="Arial" w:eastAsia="Arial" w:hAnsi="Arial"/>
          <w:sz w:val="20"/>
          <w:szCs w:val="20"/>
          <w:color w:val="auto"/>
        </w:rPr>
        <w:t>); and</w:t>
      </w:r>
    </w:p>
    <w:p>
      <w:pPr>
        <w:spacing w:after="0" w:line="186" w:lineRule="exact"/>
        <w:rPr>
          <w:rFonts w:ascii="Calibri" w:cs="Calibri" w:eastAsia="Calibri" w:hAnsi="Calibri"/>
          <w:sz w:val="18"/>
          <w:szCs w:val="18"/>
          <w:color w:val="auto"/>
        </w:rPr>
      </w:pPr>
    </w:p>
    <w:p>
      <w:pPr>
        <w:ind w:left="1380" w:hanging="628"/>
        <w:spacing w:after="0" w:line="251" w:lineRule="auto"/>
        <w:tabs>
          <w:tab w:leader="none" w:pos="1380" w:val="left"/>
        </w:tabs>
        <w:numPr>
          <w:ilvl w:val="0"/>
          <w:numId w:val="294"/>
        </w:numPr>
        <w:rPr>
          <w:rFonts w:ascii="Calibri" w:cs="Calibri" w:eastAsia="Calibri" w:hAnsi="Calibri"/>
          <w:sz w:val="18"/>
          <w:szCs w:val="18"/>
          <w:color w:val="auto"/>
        </w:rPr>
      </w:pPr>
      <w:r>
        <w:rPr>
          <w:rFonts w:ascii="Arial" w:cs="Arial" w:eastAsia="Arial" w:hAnsi="Arial"/>
          <w:sz w:val="20"/>
          <w:szCs w:val="20"/>
          <w:color w:val="auto"/>
        </w:rPr>
        <w:t>at least 75% of the shares in the Acquiring Company are expected to be held by substantially the same persons who immediately before the obtaining of Control of the Company were shareholders in the Company</w:t>
      </w:r>
    </w:p>
    <w:p>
      <w:pPr>
        <w:spacing w:after="0" w:line="134"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then the Committee, with the consent of the Acquiring Company, may decide before the obtaining of such Control that an Award shall not Vest under Rule 12.1 or Rule 12.2 but shall be automatically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4" w:right="459" w:bottom="1440" w:gutter="0" w:footer="0" w:header="0"/>
          <w:type w:val="continuous"/>
        </w:sectPr>
      </w:pPr>
    </w:p>
    <w:bookmarkStart w:id="296" w:name="page297"/>
    <w:bookmarkEnd w:id="296"/>
    <w:p>
      <w:pPr>
        <w:jc w:val="both"/>
        <w:ind w:left="740"/>
        <w:spacing w:after="0" w:line="257" w:lineRule="auto"/>
        <w:rPr>
          <w:sz w:val="20"/>
          <w:szCs w:val="20"/>
          <w:color w:val="auto"/>
        </w:rPr>
      </w:pPr>
      <w:r>
        <w:rPr>
          <w:rFonts w:ascii="Arial" w:cs="Arial" w:eastAsia="Arial" w:hAnsi="Arial"/>
          <w:sz w:val="20"/>
          <w:szCs w:val="20"/>
          <w:color w:val="auto"/>
        </w:rPr>
        <w:t>surrendered in consideration for the grant of a new award which the Committee determines is equivalent to the Award it replaces except that it will be over shares in the Acquiring Company or some other company.</w:t>
      </w:r>
    </w:p>
    <w:p>
      <w:pPr>
        <w:spacing w:after="0" w:line="128"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Rules will apply to any new award granted under this Rule 12.4 as if references to Shares were references to shares over which the new award is granted and references to the Company were references to the company whose shares are subject to the new award.</w:t>
      </w:r>
    </w:p>
    <w:p>
      <w:pPr>
        <w:spacing w:after="0" w:line="158"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In the case of an Award granted to a US Taxpayer, Rule 12.4 shall be administered in a manner that either complies with Section 409A of the IRS Code, or in a manner that does not result in the Award becoming subject to Section 409A.</w:t>
      </w:r>
    </w:p>
    <w:p>
      <w:pPr>
        <w:spacing w:after="0" w:line="20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12.5</w:t>
      </w:r>
      <w:r>
        <w:rPr>
          <w:sz w:val="20"/>
          <w:szCs w:val="20"/>
          <w:color w:val="auto"/>
        </w:rPr>
        <w:tab/>
      </w:r>
      <w:r>
        <w:rPr>
          <w:rFonts w:ascii="Arial" w:cs="Arial" w:eastAsia="Arial" w:hAnsi="Arial"/>
          <w:sz w:val="19"/>
          <w:szCs w:val="19"/>
          <w:b w:val="1"/>
          <w:bCs w:val="1"/>
          <w:color w:val="auto"/>
        </w:rPr>
        <w:t>Corporate events: reduction in number of Vested Shares</w:t>
      </w:r>
    </w:p>
    <w:p>
      <w:pPr>
        <w:spacing w:after="0" w:line="227"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If an Award Vests under any of Rules 12.1 to 12.3, the Committee shall determine in its absolute discretion, including by way of an agreement approved by the Committee, the number of Vested Shares of that Award. Without limitation to the generality of the foregoing, the Committee may determine that number by the following steps:</w:t>
      </w:r>
    </w:p>
    <w:p>
      <w:pPr>
        <w:spacing w:after="0" w:line="171" w:lineRule="exact"/>
        <w:rPr>
          <w:sz w:val="20"/>
          <w:szCs w:val="20"/>
          <w:color w:val="auto"/>
        </w:rPr>
      </w:pPr>
    </w:p>
    <w:p>
      <w:pPr>
        <w:ind w:left="1380" w:hanging="628"/>
        <w:spacing w:after="0"/>
        <w:tabs>
          <w:tab w:leader="none" w:pos="1380" w:val="left"/>
        </w:tabs>
        <w:numPr>
          <w:ilvl w:val="0"/>
          <w:numId w:val="295"/>
        </w:numPr>
        <w:rPr>
          <w:rFonts w:ascii="Calibri" w:cs="Calibri" w:eastAsia="Calibri" w:hAnsi="Calibri"/>
          <w:sz w:val="18"/>
          <w:szCs w:val="18"/>
          <w:color w:val="auto"/>
        </w:rPr>
      </w:pPr>
      <w:r>
        <w:rPr>
          <w:rFonts w:ascii="Arial" w:cs="Arial" w:eastAsia="Arial" w:hAnsi="Arial"/>
          <w:sz w:val="20"/>
          <w:szCs w:val="20"/>
          <w:color w:val="auto"/>
        </w:rPr>
        <w:t>applying any Performance Condition and any other condition imposed on the Vesting of the Award; and</w:t>
      </w:r>
    </w:p>
    <w:p>
      <w:pPr>
        <w:spacing w:after="0" w:line="223"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295"/>
        </w:numPr>
        <w:rPr>
          <w:rFonts w:ascii="Calibri" w:cs="Calibri" w:eastAsia="Calibri" w:hAnsi="Calibri"/>
          <w:sz w:val="18"/>
          <w:szCs w:val="18"/>
          <w:color w:val="auto"/>
        </w:rPr>
      </w:pPr>
      <w:r>
        <w:rPr>
          <w:rFonts w:ascii="Arial" w:cs="Arial" w:eastAsia="Arial" w:hAnsi="Arial"/>
          <w:sz w:val="20"/>
          <w:szCs w:val="20"/>
          <w:color w:val="auto"/>
        </w:rPr>
        <w:t>if the Committee so decides, by applying such reduction to the number of Shares determined under Rule 12.5(a) as it sees fit (such reduction to be, unless it decides otherwise, on such pro-rata basis as it may determine).</w:t>
      </w:r>
    </w:p>
    <w:p>
      <w:pPr>
        <w:spacing w:after="0" w:line="158"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If an Award Vests under any of Rules 12.1 to 12.3 after the holder of that Award has ceased to be an Engaged Person then Rule 11.1 shall take precedence.</w:t>
      </w:r>
    </w:p>
    <w:p>
      <w:pPr>
        <w:spacing w:after="0" w:line="153" w:lineRule="exact"/>
        <w:rPr>
          <w:sz w:val="20"/>
          <w:szCs w:val="20"/>
          <w:color w:val="auto"/>
        </w:rPr>
      </w:pPr>
    </w:p>
    <w:p>
      <w:pPr>
        <w:ind w:left="740" w:hanging="647"/>
        <w:spacing w:after="0"/>
        <w:tabs>
          <w:tab w:leader="none" w:pos="740" w:val="left"/>
        </w:tabs>
        <w:numPr>
          <w:ilvl w:val="0"/>
          <w:numId w:val="296"/>
        </w:numPr>
        <w:rPr>
          <w:rFonts w:ascii="Calibri" w:cs="Calibri" w:eastAsia="Calibri" w:hAnsi="Calibri"/>
          <w:sz w:val="20"/>
          <w:szCs w:val="20"/>
          <w:color w:val="auto"/>
        </w:rPr>
      </w:pPr>
      <w:r>
        <w:rPr>
          <w:rFonts w:ascii="Arial" w:cs="Arial" w:eastAsia="Arial" w:hAnsi="Arial"/>
          <w:sz w:val="20"/>
          <w:szCs w:val="20"/>
          <w:b w:val="1"/>
          <w:bCs w:val="1"/>
          <w:color w:val="auto"/>
        </w:rPr>
        <w:t>ADJUSTMENT OF AWARDS</w:t>
      </w:r>
    </w:p>
    <w:p>
      <w:pPr>
        <w:spacing w:after="0" w:line="232"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20"/>
          <w:szCs w:val="20"/>
          <w:color w:val="auto"/>
        </w:rPr>
        <w:t>13.1</w:t>
      </w:r>
      <w:r>
        <w:rPr>
          <w:sz w:val="20"/>
          <w:szCs w:val="20"/>
          <w:color w:val="auto"/>
        </w:rPr>
        <w:tab/>
      </w:r>
      <w:r>
        <w:rPr>
          <w:rFonts w:ascii="Arial" w:cs="Arial" w:eastAsia="Arial" w:hAnsi="Arial"/>
          <w:sz w:val="19"/>
          <w:szCs w:val="19"/>
          <w:b w:val="1"/>
          <w:bCs w:val="1"/>
          <w:color w:val="auto"/>
        </w:rPr>
        <w:t>General rule</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the event of:</w:t>
      </w:r>
    </w:p>
    <w:p>
      <w:pPr>
        <w:spacing w:after="0" w:line="216" w:lineRule="exact"/>
        <w:rPr>
          <w:sz w:val="20"/>
          <w:szCs w:val="20"/>
          <w:color w:val="auto"/>
        </w:rPr>
      </w:pPr>
    </w:p>
    <w:p>
      <w:pPr>
        <w:ind w:left="1400" w:hanging="648"/>
        <w:spacing w:after="0"/>
        <w:tabs>
          <w:tab w:leader="none" w:pos="1400" w:val="left"/>
        </w:tabs>
        <w:numPr>
          <w:ilvl w:val="0"/>
          <w:numId w:val="297"/>
        </w:numPr>
        <w:rPr>
          <w:rFonts w:ascii="Calibri" w:cs="Calibri" w:eastAsia="Calibri" w:hAnsi="Calibri"/>
          <w:sz w:val="18"/>
          <w:szCs w:val="18"/>
          <w:color w:val="auto"/>
        </w:rPr>
      </w:pPr>
      <w:r>
        <w:rPr>
          <w:rFonts w:ascii="Arial" w:cs="Arial" w:eastAsia="Arial" w:hAnsi="Arial"/>
          <w:sz w:val="20"/>
          <w:szCs w:val="20"/>
          <w:color w:val="auto"/>
        </w:rPr>
        <w:t>any variation of the share capital of the Company; or</w:t>
      </w:r>
    </w:p>
    <w:p>
      <w:pPr>
        <w:spacing w:after="0" w:line="236" w:lineRule="exact"/>
        <w:rPr>
          <w:rFonts w:ascii="Calibri" w:cs="Calibri" w:eastAsia="Calibri" w:hAnsi="Calibri"/>
          <w:sz w:val="18"/>
          <w:szCs w:val="18"/>
          <w:color w:val="auto"/>
        </w:rPr>
      </w:pPr>
    </w:p>
    <w:p>
      <w:pPr>
        <w:ind w:left="1380" w:hanging="628"/>
        <w:spacing w:after="0" w:line="251" w:lineRule="auto"/>
        <w:tabs>
          <w:tab w:leader="none" w:pos="1380" w:val="left"/>
        </w:tabs>
        <w:numPr>
          <w:ilvl w:val="0"/>
          <w:numId w:val="297"/>
        </w:numPr>
        <w:rPr>
          <w:rFonts w:ascii="Calibri" w:cs="Calibri" w:eastAsia="Calibri" w:hAnsi="Calibri"/>
          <w:sz w:val="18"/>
          <w:szCs w:val="18"/>
          <w:color w:val="auto"/>
        </w:rPr>
      </w:pPr>
      <w:r>
        <w:rPr>
          <w:rFonts w:ascii="Arial" w:cs="Arial" w:eastAsia="Arial" w:hAnsi="Arial"/>
          <w:sz w:val="20"/>
          <w:szCs w:val="20"/>
          <w:color w:val="auto"/>
        </w:rPr>
        <w:t>a demerger, special dividend or other similar event which affects the market price of Shares to a material extent</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Committee may make such adjustments as it considers appropriate under Rule 13.2 (</w:t>
      </w:r>
      <w:r>
        <w:rPr>
          <w:rFonts w:ascii="Arial" w:cs="Arial" w:eastAsia="Arial" w:hAnsi="Arial"/>
          <w:sz w:val="20"/>
          <w:szCs w:val="20"/>
          <w:i w:val="1"/>
          <w:iCs w:val="1"/>
          <w:color w:val="auto"/>
        </w:rPr>
        <w:t>Method of adjustment</w:t>
      </w:r>
      <w:r>
        <w:rPr>
          <w:rFonts w:ascii="Arial" w:cs="Arial" w:eastAsia="Arial" w:hAnsi="Arial"/>
          <w:sz w:val="20"/>
          <w:szCs w:val="20"/>
          <w:color w:val="auto"/>
        </w:rPr>
        <w:t>).</w:t>
      </w:r>
    </w:p>
    <w:p>
      <w:pPr>
        <w:spacing w:after="0" w:line="190"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20"/>
          <w:szCs w:val="20"/>
          <w:color w:val="auto"/>
        </w:rPr>
        <w:t>13.2</w:t>
      </w:r>
      <w:r>
        <w:rPr>
          <w:sz w:val="20"/>
          <w:szCs w:val="20"/>
          <w:color w:val="auto"/>
        </w:rPr>
        <w:tab/>
      </w:r>
      <w:r>
        <w:rPr>
          <w:rFonts w:ascii="Arial" w:cs="Arial" w:eastAsia="Arial" w:hAnsi="Arial"/>
          <w:sz w:val="19"/>
          <w:szCs w:val="19"/>
          <w:b w:val="1"/>
          <w:bCs w:val="1"/>
          <w:color w:val="auto"/>
        </w:rPr>
        <w:t>Method of adjustment</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 adjustment made under this Rule shall be to one or more of the following:</w:t>
      </w:r>
    </w:p>
    <w:p>
      <w:pPr>
        <w:spacing w:after="0" w:line="216" w:lineRule="exact"/>
        <w:rPr>
          <w:sz w:val="20"/>
          <w:szCs w:val="20"/>
          <w:color w:val="auto"/>
        </w:rPr>
      </w:pPr>
    </w:p>
    <w:p>
      <w:pPr>
        <w:ind w:left="1400" w:hanging="648"/>
        <w:spacing w:after="0"/>
        <w:tabs>
          <w:tab w:leader="none" w:pos="1400" w:val="left"/>
        </w:tabs>
        <w:numPr>
          <w:ilvl w:val="0"/>
          <w:numId w:val="298"/>
        </w:numPr>
        <w:rPr>
          <w:rFonts w:ascii="Calibri" w:cs="Calibri" w:eastAsia="Calibri" w:hAnsi="Calibri"/>
          <w:sz w:val="18"/>
          <w:szCs w:val="18"/>
          <w:color w:val="auto"/>
        </w:rPr>
      </w:pPr>
      <w:r>
        <w:rPr>
          <w:rFonts w:ascii="Arial" w:cs="Arial" w:eastAsia="Arial" w:hAnsi="Arial"/>
          <w:sz w:val="20"/>
          <w:szCs w:val="20"/>
          <w:color w:val="auto"/>
        </w:rPr>
        <w:t>the number of Shares comprised in an Award;</w:t>
      </w:r>
    </w:p>
    <w:p>
      <w:pPr>
        <w:spacing w:after="0" w:line="223" w:lineRule="exact"/>
        <w:rPr>
          <w:rFonts w:ascii="Calibri" w:cs="Calibri" w:eastAsia="Calibri" w:hAnsi="Calibri"/>
          <w:sz w:val="18"/>
          <w:szCs w:val="18"/>
          <w:color w:val="auto"/>
        </w:rPr>
      </w:pPr>
    </w:p>
    <w:p>
      <w:pPr>
        <w:ind w:left="1400" w:hanging="648"/>
        <w:spacing w:after="0"/>
        <w:tabs>
          <w:tab w:leader="none" w:pos="1400" w:val="left"/>
        </w:tabs>
        <w:numPr>
          <w:ilvl w:val="0"/>
          <w:numId w:val="298"/>
        </w:numPr>
        <w:rPr>
          <w:rFonts w:ascii="Calibri" w:cs="Calibri" w:eastAsia="Calibri" w:hAnsi="Calibri"/>
          <w:sz w:val="18"/>
          <w:szCs w:val="18"/>
          <w:color w:val="auto"/>
        </w:rPr>
      </w:pPr>
      <w:r>
        <w:rPr>
          <w:rFonts w:ascii="Arial" w:cs="Arial" w:eastAsia="Arial" w:hAnsi="Arial"/>
          <w:sz w:val="20"/>
          <w:szCs w:val="20"/>
          <w:color w:val="auto"/>
        </w:rPr>
        <w:t>subject to Rule 13.3 (</w:t>
      </w:r>
      <w:r>
        <w:rPr>
          <w:rFonts w:ascii="Arial" w:cs="Arial" w:eastAsia="Arial" w:hAnsi="Arial"/>
          <w:sz w:val="20"/>
          <w:szCs w:val="20"/>
          <w:i w:val="1"/>
          <w:iCs w:val="1"/>
          <w:color w:val="auto"/>
        </w:rPr>
        <w:t>Adjustment below nominal value</w:t>
      </w:r>
      <w:r>
        <w:rPr>
          <w:rFonts w:ascii="Arial" w:cs="Arial" w:eastAsia="Arial" w:hAnsi="Arial"/>
          <w:sz w:val="20"/>
          <w:szCs w:val="20"/>
          <w:color w:val="auto"/>
        </w:rPr>
        <w:t>), the Option Price; and</w:t>
      </w:r>
    </w:p>
    <w:p>
      <w:pPr>
        <w:spacing w:after="0" w:line="223" w:lineRule="exact"/>
        <w:rPr>
          <w:rFonts w:ascii="Calibri" w:cs="Calibri" w:eastAsia="Calibri" w:hAnsi="Calibri"/>
          <w:sz w:val="18"/>
          <w:szCs w:val="18"/>
          <w:color w:val="auto"/>
        </w:rPr>
      </w:pPr>
    </w:p>
    <w:p>
      <w:pPr>
        <w:ind w:left="1380" w:hanging="628"/>
        <w:spacing w:after="0"/>
        <w:tabs>
          <w:tab w:leader="none" w:pos="1380" w:val="left"/>
        </w:tabs>
        <w:numPr>
          <w:ilvl w:val="0"/>
          <w:numId w:val="298"/>
        </w:numPr>
        <w:rPr>
          <w:rFonts w:ascii="Calibri" w:cs="Calibri" w:eastAsia="Calibri" w:hAnsi="Calibri"/>
          <w:sz w:val="18"/>
          <w:szCs w:val="18"/>
          <w:color w:val="auto"/>
        </w:rPr>
      </w:pPr>
      <w:r>
        <w:rPr>
          <w:rFonts w:ascii="Arial" w:cs="Arial" w:eastAsia="Arial" w:hAnsi="Arial"/>
          <w:sz w:val="20"/>
          <w:szCs w:val="20"/>
          <w:color w:val="auto"/>
        </w:rPr>
        <w:t>where any Award has Vested or Option has been exercised but no Shares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4" w:right="459" w:bottom="1440" w:gutter="0" w:footer="0" w:header="0"/>
        </w:sectPr>
      </w:pPr>
    </w:p>
    <w:bookmarkStart w:id="297" w:name="page298"/>
    <w:bookmarkEnd w:id="297"/>
    <w:p>
      <w:pPr>
        <w:ind w:left="1380" w:right="120"/>
        <w:spacing w:after="0" w:line="257" w:lineRule="auto"/>
        <w:rPr>
          <w:sz w:val="20"/>
          <w:szCs w:val="20"/>
          <w:color w:val="auto"/>
        </w:rPr>
      </w:pPr>
      <w:r>
        <w:rPr>
          <w:rFonts w:ascii="Arial" w:cs="Arial" w:eastAsia="Arial" w:hAnsi="Arial"/>
          <w:sz w:val="20"/>
          <w:szCs w:val="20"/>
          <w:color w:val="auto"/>
        </w:rPr>
        <w:t>transferred or allotted after such Vesting or exercise, the number of Shares which may be so transferred or allotted and (if relevant) the price at which they may be acquired.</w:t>
      </w:r>
    </w:p>
    <w:p>
      <w:pPr>
        <w:spacing w:after="0" w:line="128" w:lineRule="exact"/>
        <w:rPr>
          <w:sz w:val="20"/>
          <w:szCs w:val="20"/>
          <w:color w:val="auto"/>
        </w:rPr>
      </w:pPr>
    </w:p>
    <w:p>
      <w:pPr>
        <w:ind w:left="740" w:right="120"/>
        <w:spacing w:after="0" w:line="257" w:lineRule="auto"/>
        <w:rPr>
          <w:sz w:val="20"/>
          <w:szCs w:val="20"/>
          <w:color w:val="auto"/>
        </w:rPr>
      </w:pPr>
      <w:r>
        <w:rPr>
          <w:rFonts w:ascii="Arial" w:cs="Arial" w:eastAsia="Arial" w:hAnsi="Arial"/>
          <w:sz w:val="20"/>
          <w:szCs w:val="20"/>
          <w:color w:val="auto"/>
        </w:rPr>
        <w:t>In the case of any Award granted to a US Taxpayer, any adjustment under this Rule 13.2 shall be made in a manner that complies with Sections 409A and, in the case of ISO Options, 424 of the Code.</w:t>
      </w:r>
    </w:p>
    <w:p>
      <w:pPr>
        <w:spacing w:after="0" w:line="157"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20"/>
          <w:szCs w:val="20"/>
          <w:color w:val="auto"/>
        </w:rPr>
        <w:t>13.3</w:t>
      </w:r>
      <w:r>
        <w:rPr>
          <w:sz w:val="20"/>
          <w:szCs w:val="20"/>
          <w:color w:val="auto"/>
        </w:rPr>
        <w:tab/>
      </w:r>
      <w:r>
        <w:rPr>
          <w:rFonts w:ascii="Arial" w:cs="Arial" w:eastAsia="Arial" w:hAnsi="Arial"/>
          <w:sz w:val="19"/>
          <w:szCs w:val="19"/>
          <w:b w:val="1"/>
          <w:bCs w:val="1"/>
          <w:color w:val="auto"/>
        </w:rPr>
        <w:t>Adjustment below nominal value</w:t>
      </w:r>
    </w:p>
    <w:p>
      <w:pPr>
        <w:spacing w:after="0" w:line="227" w:lineRule="exact"/>
        <w:rPr>
          <w:sz w:val="20"/>
          <w:szCs w:val="20"/>
          <w:color w:val="auto"/>
        </w:rPr>
      </w:pPr>
    </w:p>
    <w:p>
      <w:pPr>
        <w:ind w:left="740" w:right="120"/>
        <w:spacing w:after="0" w:line="257" w:lineRule="auto"/>
        <w:rPr>
          <w:sz w:val="20"/>
          <w:szCs w:val="20"/>
          <w:color w:val="auto"/>
        </w:rPr>
      </w:pPr>
      <w:r>
        <w:rPr>
          <w:rFonts w:ascii="Arial" w:cs="Arial" w:eastAsia="Arial" w:hAnsi="Arial"/>
          <w:sz w:val="20"/>
          <w:szCs w:val="20"/>
          <w:color w:val="auto"/>
        </w:rPr>
        <w:t>An adjustment under Rule 13.2 may have the effect of reducing the price at which Shares may be subscribed for on the exercise of an Option to less than their nominal value, but only if and to the extent that the Board is authorised:</w:t>
      </w:r>
    </w:p>
    <w:p>
      <w:pPr>
        <w:spacing w:after="0" w:line="155" w:lineRule="exact"/>
        <w:rPr>
          <w:sz w:val="20"/>
          <w:szCs w:val="20"/>
          <w:color w:val="auto"/>
        </w:rPr>
      </w:pPr>
    </w:p>
    <w:p>
      <w:pPr>
        <w:jc w:val="both"/>
        <w:ind w:left="1380" w:right="140" w:hanging="628"/>
        <w:spacing w:after="0" w:line="239" w:lineRule="auto"/>
        <w:tabs>
          <w:tab w:leader="none" w:pos="1380" w:val="left"/>
        </w:tabs>
        <w:numPr>
          <w:ilvl w:val="0"/>
          <w:numId w:val="299"/>
        </w:numPr>
        <w:rPr>
          <w:rFonts w:ascii="Calibri" w:cs="Calibri" w:eastAsia="Calibri" w:hAnsi="Calibri"/>
          <w:sz w:val="18"/>
          <w:szCs w:val="18"/>
          <w:color w:val="auto"/>
        </w:rPr>
      </w:pPr>
      <w:r>
        <w:rPr>
          <w:rFonts w:ascii="Arial" w:cs="Arial" w:eastAsia="Arial" w:hAnsi="Arial"/>
          <w:sz w:val="20"/>
          <w:szCs w:val="20"/>
          <w:color w:val="auto"/>
        </w:rPr>
        <w:t>to capitalise from the reserves of the Company a sum equal to the amount by which the nominal value of the Shares in respect of which the Option is exercised and which are to be allotted after such exercise exceeds the price at which the Shares may be subscribed for; and</w:t>
      </w:r>
    </w:p>
    <w:p>
      <w:pPr>
        <w:spacing w:after="0" w:line="9" w:lineRule="exact"/>
        <w:rPr>
          <w:rFonts w:ascii="Calibri" w:cs="Calibri" w:eastAsia="Calibri" w:hAnsi="Calibri"/>
          <w:sz w:val="18"/>
          <w:szCs w:val="18"/>
          <w:color w:val="auto"/>
        </w:rPr>
      </w:pPr>
    </w:p>
    <w:p>
      <w:pPr>
        <w:ind w:left="1400" w:hanging="648"/>
        <w:spacing w:after="0"/>
        <w:tabs>
          <w:tab w:leader="none" w:pos="1400" w:val="left"/>
        </w:tabs>
        <w:numPr>
          <w:ilvl w:val="0"/>
          <w:numId w:val="299"/>
        </w:numPr>
        <w:rPr>
          <w:rFonts w:ascii="Calibri" w:cs="Calibri" w:eastAsia="Calibri" w:hAnsi="Calibri"/>
          <w:sz w:val="18"/>
          <w:szCs w:val="18"/>
          <w:color w:val="auto"/>
        </w:rPr>
      </w:pPr>
      <w:r>
        <w:rPr>
          <w:rFonts w:ascii="Arial" w:cs="Arial" w:eastAsia="Arial" w:hAnsi="Arial"/>
          <w:sz w:val="20"/>
          <w:szCs w:val="20"/>
          <w:color w:val="auto"/>
        </w:rPr>
        <w:t>to apply that sum in paying up such amount on such Shares</w:t>
      </w:r>
    </w:p>
    <w:p>
      <w:pPr>
        <w:spacing w:after="0" w:line="196" w:lineRule="exact"/>
        <w:rPr>
          <w:sz w:val="20"/>
          <w:szCs w:val="20"/>
          <w:color w:val="auto"/>
        </w:rPr>
      </w:pPr>
    </w:p>
    <w:p>
      <w:pPr>
        <w:ind w:left="740" w:right="120"/>
        <w:spacing w:after="0" w:line="257" w:lineRule="auto"/>
        <w:rPr>
          <w:sz w:val="20"/>
          <w:szCs w:val="20"/>
          <w:color w:val="auto"/>
        </w:rPr>
      </w:pPr>
      <w:r>
        <w:rPr>
          <w:rFonts w:ascii="Arial" w:cs="Arial" w:eastAsia="Arial" w:hAnsi="Arial"/>
          <w:sz w:val="20"/>
          <w:szCs w:val="20"/>
          <w:color w:val="auto"/>
        </w:rPr>
        <w:t>so that on exercise of any Option in respect of which such a reduction shall have been made the Board shall capitalise that sum (if any) and apply it in paying up that amount.</w:t>
      </w:r>
    </w:p>
    <w:p>
      <w:pPr>
        <w:spacing w:after="0" w:line="153" w:lineRule="exact"/>
        <w:rPr>
          <w:sz w:val="20"/>
          <w:szCs w:val="20"/>
          <w:color w:val="auto"/>
        </w:rPr>
      </w:pPr>
    </w:p>
    <w:p>
      <w:pPr>
        <w:ind w:left="740" w:hanging="647"/>
        <w:spacing w:after="0"/>
        <w:tabs>
          <w:tab w:leader="none" w:pos="740" w:val="left"/>
        </w:tabs>
        <w:numPr>
          <w:ilvl w:val="0"/>
          <w:numId w:val="300"/>
        </w:numPr>
        <w:rPr>
          <w:rFonts w:ascii="Calibri" w:cs="Calibri" w:eastAsia="Calibri" w:hAnsi="Calibri"/>
          <w:sz w:val="20"/>
          <w:szCs w:val="20"/>
          <w:color w:val="auto"/>
        </w:rPr>
      </w:pPr>
      <w:r>
        <w:rPr>
          <w:rFonts w:ascii="Arial" w:cs="Arial" w:eastAsia="Arial" w:hAnsi="Arial"/>
          <w:sz w:val="20"/>
          <w:szCs w:val="20"/>
          <w:b w:val="1"/>
          <w:bCs w:val="1"/>
          <w:color w:val="auto"/>
        </w:rPr>
        <w:t>ALTERATIONS</w:t>
      </w:r>
    </w:p>
    <w:p>
      <w:pPr>
        <w:spacing w:after="0" w:line="244" w:lineRule="exact"/>
        <w:rPr>
          <w:sz w:val="20"/>
          <w:szCs w:val="20"/>
          <w:color w:val="auto"/>
        </w:rPr>
      </w:pPr>
    </w:p>
    <w:p>
      <w:pPr>
        <w:jc w:val="both"/>
        <w:ind w:left="740" w:firstLine="440"/>
        <w:spacing w:after="0" w:line="241" w:lineRule="auto"/>
        <w:rPr>
          <w:sz w:val="20"/>
          <w:szCs w:val="20"/>
          <w:color w:val="auto"/>
        </w:rPr>
      </w:pPr>
      <w:r>
        <w:rPr>
          <w:rFonts w:ascii="Arial" w:cs="Arial" w:eastAsia="Arial" w:hAnsi="Arial"/>
          <w:sz w:val="20"/>
          <w:szCs w:val="20"/>
          <w:color w:val="auto"/>
        </w:rPr>
        <w:t>Any alteration shall take effect without the requirement for the prior approval of the shareholders of the Company, except as otherwise required by applicable law and/or the rules of any securities exchange on which the Shares (or securities representing Shares) may be listed.</w:t>
      </w:r>
    </w:p>
    <w:p>
      <w:pPr>
        <w:spacing w:after="0" w:line="169" w:lineRule="exact"/>
        <w:rPr>
          <w:sz w:val="20"/>
          <w:szCs w:val="20"/>
          <w:color w:val="auto"/>
        </w:rPr>
      </w:pPr>
    </w:p>
    <w:p>
      <w:pPr>
        <w:ind w:left="740" w:hanging="647"/>
        <w:spacing w:after="0"/>
        <w:tabs>
          <w:tab w:leader="none" w:pos="740" w:val="left"/>
        </w:tabs>
        <w:numPr>
          <w:ilvl w:val="0"/>
          <w:numId w:val="301"/>
        </w:numPr>
        <w:rPr>
          <w:rFonts w:ascii="Calibri" w:cs="Calibri" w:eastAsia="Calibri" w:hAnsi="Calibri"/>
          <w:sz w:val="20"/>
          <w:szCs w:val="20"/>
          <w:color w:val="auto"/>
        </w:rPr>
      </w:pPr>
      <w:r>
        <w:rPr>
          <w:rFonts w:ascii="Arial" w:cs="Arial" w:eastAsia="Arial" w:hAnsi="Arial"/>
          <w:sz w:val="20"/>
          <w:szCs w:val="20"/>
          <w:b w:val="1"/>
          <w:bCs w:val="1"/>
          <w:color w:val="auto"/>
        </w:rPr>
        <w:t>MISCELLANEOUS</w:t>
      </w:r>
    </w:p>
    <w:p>
      <w:pPr>
        <w:spacing w:after="0" w:line="21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15.1</w:t>
      </w:r>
      <w:r>
        <w:rPr>
          <w:sz w:val="20"/>
          <w:szCs w:val="20"/>
          <w:color w:val="auto"/>
        </w:rPr>
        <w:tab/>
      </w:r>
      <w:r>
        <w:rPr>
          <w:rFonts w:ascii="Arial" w:cs="Arial" w:eastAsia="Arial" w:hAnsi="Arial"/>
          <w:sz w:val="19"/>
          <w:szCs w:val="19"/>
          <w:b w:val="1"/>
          <w:bCs w:val="1"/>
          <w:color w:val="auto"/>
        </w:rPr>
        <w:t>Employment, office or consultancy</w:t>
      </w:r>
    </w:p>
    <w:p>
      <w:pPr>
        <w:spacing w:after="0" w:line="227" w:lineRule="exact"/>
        <w:rPr>
          <w:sz w:val="20"/>
          <w:szCs w:val="20"/>
          <w:color w:val="auto"/>
        </w:rPr>
      </w:pPr>
    </w:p>
    <w:p>
      <w:pPr>
        <w:jc w:val="both"/>
        <w:ind w:left="740" w:right="120"/>
        <w:spacing w:after="0" w:line="232" w:lineRule="auto"/>
        <w:rPr>
          <w:sz w:val="20"/>
          <w:szCs w:val="20"/>
          <w:color w:val="auto"/>
        </w:rPr>
      </w:pPr>
      <w:r>
        <w:rPr>
          <w:rFonts w:ascii="Arial" w:cs="Arial" w:eastAsia="Arial" w:hAnsi="Arial"/>
          <w:sz w:val="20"/>
          <w:szCs w:val="20"/>
          <w:color w:val="auto"/>
        </w:rPr>
        <w:t>The rights and obligations of any individual under the terms of his office or employment with any Group Member, or the contract pursuant to which he is a Consultant, shall not be affected by his participation in the Plan or any right which he may have to participate in it. An individual who participates in the Plan waives any and all rights to compensation or damages in consequence of the termination of his office, employment or consultancy for any reason whatsoever insofar as those rights arise or may arise from him ceasing to have rights under an Award as a result of such termination. Participation in the Plan shall not confer a right to continued employment, office or consultancy upon any individual who participates in it.</w:t>
      </w:r>
    </w:p>
    <w:p>
      <w:pPr>
        <w:spacing w:after="0" w:line="16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15.2</w:t>
      </w:r>
      <w:r>
        <w:rPr>
          <w:sz w:val="20"/>
          <w:szCs w:val="20"/>
          <w:color w:val="auto"/>
        </w:rPr>
        <w:tab/>
      </w:r>
      <w:r>
        <w:rPr>
          <w:rFonts w:ascii="Arial" w:cs="Arial" w:eastAsia="Arial" w:hAnsi="Arial"/>
          <w:sz w:val="19"/>
          <w:szCs w:val="19"/>
          <w:b w:val="1"/>
          <w:bCs w:val="1"/>
          <w:color w:val="auto"/>
        </w:rPr>
        <w:t>No implied right to participate</w:t>
      </w:r>
    </w:p>
    <w:p>
      <w:pPr>
        <w:spacing w:after="0" w:line="227" w:lineRule="exact"/>
        <w:rPr>
          <w:sz w:val="20"/>
          <w:szCs w:val="20"/>
          <w:color w:val="auto"/>
        </w:rPr>
      </w:pPr>
    </w:p>
    <w:p>
      <w:pPr>
        <w:jc w:val="both"/>
        <w:ind w:left="740" w:right="120"/>
        <w:spacing w:after="0" w:line="237" w:lineRule="auto"/>
        <w:rPr>
          <w:sz w:val="20"/>
          <w:szCs w:val="20"/>
          <w:color w:val="auto"/>
        </w:rPr>
      </w:pPr>
      <w:r>
        <w:rPr>
          <w:rFonts w:ascii="Arial" w:cs="Arial" w:eastAsia="Arial" w:hAnsi="Arial"/>
          <w:sz w:val="20"/>
          <w:szCs w:val="20"/>
          <w:color w:val="auto"/>
        </w:rPr>
        <w:t>No Engaged Person has a right to participate in the Plan. The grant of any Award does not imply that any further Award will be granted nor that a Participant has any right to receive any further Award. Participation in the Plan or the grant of Awards on a particular basis in any year does not create any right to or expectation of participation in the Plan or the grant of Awards on the same basis, or at all, in any future year.</w:t>
      </w:r>
    </w:p>
    <w:p>
      <w:pPr>
        <w:spacing w:after="0" w:line="173"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15.3</w:t>
      </w:r>
      <w:r>
        <w:rPr>
          <w:sz w:val="20"/>
          <w:szCs w:val="20"/>
          <w:color w:val="auto"/>
        </w:rPr>
        <w:tab/>
      </w:r>
      <w:r>
        <w:rPr>
          <w:rFonts w:ascii="Arial" w:cs="Arial" w:eastAsia="Arial" w:hAnsi="Arial"/>
          <w:sz w:val="19"/>
          <w:szCs w:val="19"/>
          <w:b w:val="1"/>
          <w:bCs w:val="1"/>
          <w:color w:val="auto"/>
        </w:rPr>
        <w:t>Disputes</w:t>
      </w:r>
    </w:p>
    <w:p>
      <w:pPr>
        <w:spacing w:after="0" w:line="213" w:lineRule="exact"/>
        <w:rPr>
          <w:sz w:val="20"/>
          <w:szCs w:val="20"/>
          <w:color w:val="auto"/>
        </w:rPr>
      </w:pPr>
    </w:p>
    <w:p>
      <w:pPr>
        <w:jc w:val="both"/>
        <w:ind w:left="740" w:right="120"/>
        <w:spacing w:after="0" w:line="257" w:lineRule="auto"/>
        <w:rPr>
          <w:sz w:val="20"/>
          <w:szCs w:val="20"/>
          <w:color w:val="auto"/>
        </w:rPr>
      </w:pPr>
      <w:r>
        <w:rPr>
          <w:rFonts w:ascii="Arial" w:cs="Arial" w:eastAsia="Arial" w:hAnsi="Arial"/>
          <w:sz w:val="20"/>
          <w:szCs w:val="20"/>
          <w:color w:val="auto"/>
        </w:rPr>
        <w:t>In the event of any dispute or disagreement as to the interpretation of the Plan, or as to any question or right arising from or relating to the Plan, the decision of the Committee shall be final and binding upon all persons.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4" w:right="339" w:bottom="1440" w:gutter="0" w:footer="0" w:header="0"/>
        </w:sectPr>
      </w:pPr>
    </w:p>
    <w:bookmarkStart w:id="298" w:name="page299"/>
    <w:bookmarkEnd w:id="298"/>
    <w:p>
      <w:pPr>
        <w:spacing w:after="0" w:line="17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15.4</w:t>
      </w:r>
      <w:r>
        <w:rPr>
          <w:sz w:val="20"/>
          <w:szCs w:val="20"/>
          <w:color w:val="auto"/>
        </w:rPr>
        <w:tab/>
      </w:r>
      <w:r>
        <w:rPr>
          <w:rFonts w:ascii="Arial" w:cs="Arial" w:eastAsia="Arial" w:hAnsi="Arial"/>
          <w:sz w:val="19"/>
          <w:szCs w:val="19"/>
          <w:b w:val="1"/>
          <w:bCs w:val="1"/>
          <w:color w:val="auto"/>
        </w:rPr>
        <w:t>Exercise of powers and discretions</w:t>
      </w:r>
    </w:p>
    <w:p>
      <w:pPr>
        <w:spacing w:after="0" w:line="213"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The exercise of any power or discretion by the Committee shall not be open to question by any person and a Participant or former Participant shall have no rights in relation to the exercise of or omission to exercise any such power or discretion.</w:t>
      </w:r>
    </w:p>
    <w:p>
      <w:pPr>
        <w:spacing w:after="0" w:line="173"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15.5</w:t>
      </w:r>
      <w:r>
        <w:rPr>
          <w:sz w:val="20"/>
          <w:szCs w:val="20"/>
          <w:color w:val="auto"/>
        </w:rPr>
        <w:tab/>
      </w:r>
      <w:r>
        <w:rPr>
          <w:rFonts w:ascii="Arial" w:cs="Arial" w:eastAsia="Arial" w:hAnsi="Arial"/>
          <w:sz w:val="19"/>
          <w:szCs w:val="19"/>
          <w:b w:val="1"/>
          <w:bCs w:val="1"/>
          <w:color w:val="auto"/>
        </w:rPr>
        <w:t>Share rights</w:t>
      </w:r>
    </w:p>
    <w:p>
      <w:pPr>
        <w:spacing w:after="0" w:line="213"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All Shares allotted under the Plan shall rank equally in all respects with Shares then in issue except for any rights attaching to such Shares by reference to a record date before the date of the allotment.</w:t>
      </w:r>
    </w:p>
    <w:p>
      <w:pPr>
        <w:spacing w:after="0" w:line="142" w:lineRule="exact"/>
        <w:rPr>
          <w:sz w:val="20"/>
          <w:szCs w:val="20"/>
          <w:color w:val="auto"/>
        </w:rPr>
      </w:pPr>
    </w:p>
    <w:p>
      <w:pPr>
        <w:jc w:val="both"/>
        <w:ind w:left="740"/>
        <w:spacing w:after="0" w:line="257" w:lineRule="auto"/>
        <w:rPr>
          <w:sz w:val="20"/>
          <w:szCs w:val="20"/>
          <w:color w:val="auto"/>
        </w:rPr>
      </w:pPr>
      <w:r>
        <w:rPr>
          <w:rFonts w:ascii="Arial" w:cs="Arial" w:eastAsia="Arial" w:hAnsi="Arial"/>
          <w:sz w:val="20"/>
          <w:szCs w:val="20"/>
          <w:color w:val="auto"/>
        </w:rPr>
        <w:t>Where Vested Shares are transferred to Participants (or their nominee) they shall be entitled to all rights attaching to such Shares by reference to a record date on or after the date of such transfer.</w:t>
      </w:r>
    </w:p>
    <w:p>
      <w:pPr>
        <w:spacing w:after="0" w:line="144"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15.6</w:t>
      </w:r>
      <w:r>
        <w:rPr>
          <w:sz w:val="20"/>
          <w:szCs w:val="20"/>
          <w:color w:val="auto"/>
        </w:rPr>
        <w:tab/>
      </w:r>
      <w:r>
        <w:rPr>
          <w:rFonts w:ascii="Arial" w:cs="Arial" w:eastAsia="Arial" w:hAnsi="Arial"/>
          <w:sz w:val="19"/>
          <w:szCs w:val="19"/>
          <w:b w:val="1"/>
          <w:bCs w:val="1"/>
          <w:color w:val="auto"/>
        </w:rPr>
        <w:t>Notices</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Any notice or other communication under or in connection with the Plan may be given:</w:t>
      </w:r>
    </w:p>
    <w:p>
      <w:pPr>
        <w:spacing w:after="0" w:line="40" w:lineRule="exact"/>
        <w:rPr>
          <w:sz w:val="20"/>
          <w:szCs w:val="20"/>
          <w:color w:val="auto"/>
        </w:rPr>
      </w:pPr>
    </w:p>
    <w:p>
      <w:pPr>
        <w:jc w:val="both"/>
        <w:ind w:left="1380" w:right="20" w:hanging="628"/>
        <w:spacing w:after="0" w:line="235" w:lineRule="auto"/>
        <w:tabs>
          <w:tab w:leader="none" w:pos="1380" w:val="left"/>
        </w:tabs>
        <w:numPr>
          <w:ilvl w:val="0"/>
          <w:numId w:val="302"/>
        </w:numPr>
        <w:rPr>
          <w:rFonts w:ascii="Calibri" w:cs="Calibri" w:eastAsia="Calibri" w:hAnsi="Calibri"/>
          <w:sz w:val="18"/>
          <w:szCs w:val="18"/>
          <w:color w:val="auto"/>
        </w:rPr>
      </w:pPr>
      <w:r>
        <w:rPr>
          <w:rFonts w:ascii="Arial" w:cs="Arial" w:eastAsia="Arial" w:hAnsi="Arial"/>
          <w:sz w:val="20"/>
          <w:szCs w:val="20"/>
          <w:color w:val="auto"/>
        </w:rPr>
        <w:t>by personal delivery or by post, in the case of a company to its registered office, and in the case of an individual to his last known address, or, where he is an Engaged Person, either to his last known address or to the address of the place of business at which he performs the whole or substantially the whole of the duties of his office, employment or other arrangement pursuant to which he is an Engaged Person;</w:t>
      </w:r>
    </w:p>
    <w:p>
      <w:pPr>
        <w:spacing w:after="0" w:line="200" w:lineRule="exact"/>
        <w:rPr>
          <w:rFonts w:ascii="Calibri" w:cs="Calibri" w:eastAsia="Calibri" w:hAnsi="Calibri"/>
          <w:sz w:val="18"/>
          <w:szCs w:val="18"/>
          <w:color w:val="auto"/>
        </w:rPr>
      </w:pPr>
    </w:p>
    <w:p>
      <w:pPr>
        <w:ind w:left="1380" w:right="20" w:hanging="628"/>
        <w:spacing w:after="0" w:line="251" w:lineRule="auto"/>
        <w:tabs>
          <w:tab w:leader="none" w:pos="1380" w:val="left"/>
        </w:tabs>
        <w:numPr>
          <w:ilvl w:val="0"/>
          <w:numId w:val="302"/>
        </w:numPr>
        <w:rPr>
          <w:rFonts w:ascii="Calibri" w:cs="Calibri" w:eastAsia="Calibri" w:hAnsi="Calibri"/>
          <w:sz w:val="18"/>
          <w:szCs w:val="18"/>
          <w:color w:val="auto"/>
        </w:rPr>
      </w:pPr>
      <w:r>
        <w:rPr>
          <w:rFonts w:ascii="Arial" w:cs="Arial" w:eastAsia="Arial" w:hAnsi="Arial"/>
          <w:sz w:val="20"/>
          <w:szCs w:val="20"/>
          <w:color w:val="auto"/>
        </w:rPr>
        <w:t>in an electronic communication to their usual business address or such other address for the time being notified for that purpose to the person giving the notice; or</w:t>
      </w:r>
    </w:p>
    <w:p>
      <w:pPr>
        <w:spacing w:after="0" w:line="174" w:lineRule="exact"/>
        <w:rPr>
          <w:rFonts w:ascii="Calibri" w:cs="Calibri" w:eastAsia="Calibri" w:hAnsi="Calibri"/>
          <w:sz w:val="18"/>
          <w:szCs w:val="18"/>
          <w:color w:val="auto"/>
        </w:rPr>
      </w:pPr>
    </w:p>
    <w:p>
      <w:pPr>
        <w:ind w:left="1400" w:hanging="648"/>
        <w:spacing w:after="0"/>
        <w:tabs>
          <w:tab w:leader="none" w:pos="1400" w:val="left"/>
        </w:tabs>
        <w:numPr>
          <w:ilvl w:val="0"/>
          <w:numId w:val="302"/>
        </w:numPr>
        <w:rPr>
          <w:rFonts w:ascii="Calibri" w:cs="Calibri" w:eastAsia="Calibri" w:hAnsi="Calibri"/>
          <w:sz w:val="18"/>
          <w:szCs w:val="18"/>
          <w:color w:val="auto"/>
        </w:rPr>
      </w:pPr>
      <w:r>
        <w:rPr>
          <w:rFonts w:ascii="Arial" w:cs="Arial" w:eastAsia="Arial" w:hAnsi="Arial"/>
          <w:sz w:val="20"/>
          <w:szCs w:val="20"/>
          <w:color w:val="auto"/>
        </w:rPr>
        <w:t>by such other method as the Committee determines.</w:t>
      </w:r>
    </w:p>
    <w:p>
      <w:pPr>
        <w:spacing w:after="0" w:line="211"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15.7</w:t>
      </w:r>
      <w:r>
        <w:rPr>
          <w:sz w:val="20"/>
          <w:szCs w:val="20"/>
          <w:color w:val="auto"/>
        </w:rPr>
        <w:tab/>
      </w:r>
      <w:r>
        <w:rPr>
          <w:rFonts w:ascii="Arial" w:cs="Arial" w:eastAsia="Arial" w:hAnsi="Arial"/>
          <w:sz w:val="19"/>
          <w:szCs w:val="19"/>
          <w:b w:val="1"/>
          <w:bCs w:val="1"/>
          <w:color w:val="auto"/>
        </w:rPr>
        <w:t>Third parties</w:t>
      </w:r>
    </w:p>
    <w:p>
      <w:pPr>
        <w:spacing w:after="0" w:line="227" w:lineRule="exact"/>
        <w:rPr>
          <w:sz w:val="20"/>
          <w:szCs w:val="20"/>
          <w:color w:val="auto"/>
        </w:rPr>
      </w:pPr>
    </w:p>
    <w:p>
      <w:pPr>
        <w:ind w:left="100" w:right="300" w:firstLine="648"/>
        <w:spacing w:after="0" w:line="437" w:lineRule="auto"/>
        <w:rPr>
          <w:sz w:val="20"/>
          <w:szCs w:val="20"/>
          <w:color w:val="auto"/>
        </w:rPr>
      </w:pPr>
      <w:r>
        <w:rPr>
          <w:rFonts w:ascii="Arial" w:cs="Arial" w:eastAsia="Arial" w:hAnsi="Arial"/>
          <w:sz w:val="20"/>
          <w:szCs w:val="20"/>
          <w:color w:val="auto"/>
        </w:rPr>
        <w:t xml:space="preserve">No third party has any rights under the Contracts (Rights of Third Parties) Act 1999 to enforce any term of the Plan. </w:t>
      </w:r>
      <w:r>
        <w:rPr>
          <w:rFonts w:ascii="Calibri" w:cs="Calibri" w:eastAsia="Calibri" w:hAnsi="Calibri"/>
          <w:sz w:val="20"/>
          <w:szCs w:val="20"/>
          <w:color w:val="auto"/>
        </w:rPr>
        <w:t xml:space="preserve">15.8 </w:t>
      </w:r>
      <w:r>
        <w:rPr>
          <w:rFonts w:ascii="Arial" w:cs="Arial" w:eastAsia="Arial" w:hAnsi="Arial"/>
          <w:sz w:val="20"/>
          <w:szCs w:val="20"/>
          <w:b w:val="1"/>
          <w:bCs w:val="1"/>
          <w:color w:val="auto"/>
        </w:rPr>
        <w:t>Benefits not pensionable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Benefits provided under the Plan shall not be pensionable.</w:t>
      </w:r>
    </w:p>
    <w:p>
      <w:pPr>
        <w:spacing w:after="0" w:line="190"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15.9</w:t>
      </w:r>
      <w:r>
        <w:rPr>
          <w:sz w:val="20"/>
          <w:szCs w:val="20"/>
          <w:color w:val="auto"/>
        </w:rPr>
        <w:tab/>
      </w:r>
      <w:r>
        <w:rPr>
          <w:rFonts w:ascii="Arial" w:cs="Arial" w:eastAsia="Arial" w:hAnsi="Arial"/>
          <w:sz w:val="19"/>
          <w:szCs w:val="19"/>
          <w:b w:val="1"/>
          <w:bCs w:val="1"/>
          <w:color w:val="auto"/>
        </w:rPr>
        <w:t>Data Protection</w:t>
      </w:r>
    </w:p>
    <w:p>
      <w:pPr>
        <w:spacing w:after="0" w:line="227" w:lineRule="exact"/>
        <w:rPr>
          <w:sz w:val="20"/>
          <w:szCs w:val="20"/>
          <w:color w:val="auto"/>
        </w:rPr>
      </w:pPr>
    </w:p>
    <w:p>
      <w:pPr>
        <w:ind w:left="740" w:right="20"/>
        <w:spacing w:after="0" w:line="257" w:lineRule="auto"/>
        <w:rPr>
          <w:sz w:val="20"/>
          <w:szCs w:val="20"/>
          <w:color w:val="auto"/>
        </w:rPr>
      </w:pPr>
      <w:r>
        <w:rPr>
          <w:rFonts w:ascii="Arial" w:cs="Arial" w:eastAsia="Arial" w:hAnsi="Arial"/>
          <w:sz w:val="20"/>
          <w:szCs w:val="20"/>
          <w:color w:val="auto"/>
        </w:rPr>
        <w:t>Each Participant consents to the collection, processing and transfer of his personal data for any purpose relating to the operation of the Plan. This includes:</w:t>
      </w:r>
    </w:p>
    <w:p>
      <w:pPr>
        <w:spacing w:after="0" w:line="155" w:lineRule="exact"/>
        <w:rPr>
          <w:sz w:val="20"/>
          <w:szCs w:val="20"/>
          <w:color w:val="auto"/>
        </w:rPr>
      </w:pPr>
    </w:p>
    <w:p>
      <w:pPr>
        <w:ind w:left="1380" w:hanging="628"/>
        <w:spacing w:after="0" w:line="251" w:lineRule="auto"/>
        <w:tabs>
          <w:tab w:leader="none" w:pos="1380" w:val="left"/>
        </w:tabs>
        <w:numPr>
          <w:ilvl w:val="0"/>
          <w:numId w:val="303"/>
        </w:numPr>
        <w:rPr>
          <w:rFonts w:ascii="Calibri" w:cs="Calibri" w:eastAsia="Calibri" w:hAnsi="Calibri"/>
          <w:sz w:val="18"/>
          <w:szCs w:val="18"/>
          <w:color w:val="auto"/>
        </w:rPr>
      </w:pPr>
      <w:r>
        <w:rPr>
          <w:rFonts w:ascii="Arial" w:cs="Arial" w:eastAsia="Arial" w:hAnsi="Arial"/>
          <w:sz w:val="20"/>
          <w:szCs w:val="20"/>
          <w:color w:val="auto"/>
        </w:rPr>
        <w:t>providing personal data to any Group Member and any third party such as trustees of any employee benefit trust, administrators of the Plan, registrars, brokers and any of their respective agents;</w:t>
      </w:r>
    </w:p>
    <w:p>
      <w:pPr>
        <w:spacing w:after="0" w:line="160" w:lineRule="exact"/>
        <w:rPr>
          <w:rFonts w:ascii="Calibri" w:cs="Calibri" w:eastAsia="Calibri" w:hAnsi="Calibri"/>
          <w:sz w:val="18"/>
          <w:szCs w:val="18"/>
          <w:color w:val="auto"/>
        </w:rPr>
      </w:pPr>
    </w:p>
    <w:p>
      <w:pPr>
        <w:ind w:left="1400" w:hanging="648"/>
        <w:spacing w:after="0"/>
        <w:tabs>
          <w:tab w:leader="none" w:pos="1400" w:val="left"/>
        </w:tabs>
        <w:numPr>
          <w:ilvl w:val="0"/>
          <w:numId w:val="303"/>
        </w:numPr>
        <w:rPr>
          <w:rFonts w:ascii="Calibri" w:cs="Calibri" w:eastAsia="Calibri" w:hAnsi="Calibri"/>
          <w:sz w:val="18"/>
          <w:szCs w:val="18"/>
          <w:color w:val="auto"/>
        </w:rPr>
      </w:pPr>
      <w:r>
        <w:rPr>
          <w:rFonts w:ascii="Arial" w:cs="Arial" w:eastAsia="Arial" w:hAnsi="Arial"/>
          <w:sz w:val="20"/>
          <w:szCs w:val="20"/>
          <w:color w:val="auto"/>
        </w:rPr>
        <w:t>processing of personal data by any such Group Member or third party;</w:t>
      </w:r>
    </w:p>
    <w:p>
      <w:pPr>
        <w:spacing w:after="0" w:line="223" w:lineRule="exact"/>
        <w:rPr>
          <w:rFonts w:ascii="Calibri" w:cs="Calibri" w:eastAsia="Calibri" w:hAnsi="Calibri"/>
          <w:sz w:val="18"/>
          <w:szCs w:val="18"/>
          <w:color w:val="auto"/>
        </w:rPr>
      </w:pPr>
    </w:p>
    <w:p>
      <w:pPr>
        <w:ind w:left="1380" w:hanging="628"/>
        <w:spacing w:after="0" w:line="251" w:lineRule="auto"/>
        <w:tabs>
          <w:tab w:leader="none" w:pos="1380" w:val="left"/>
        </w:tabs>
        <w:numPr>
          <w:ilvl w:val="0"/>
          <w:numId w:val="303"/>
        </w:numPr>
        <w:rPr>
          <w:rFonts w:ascii="Calibri" w:cs="Calibri" w:eastAsia="Calibri" w:hAnsi="Calibri"/>
          <w:sz w:val="18"/>
          <w:szCs w:val="18"/>
          <w:color w:val="auto"/>
        </w:rPr>
      </w:pPr>
      <w:r>
        <w:rPr>
          <w:rFonts w:ascii="Arial" w:cs="Arial" w:eastAsia="Arial" w:hAnsi="Arial"/>
          <w:sz w:val="20"/>
          <w:szCs w:val="20"/>
          <w:color w:val="auto"/>
        </w:rPr>
        <w:t>transferring personal data to a country outside the European Economic Area (including a country which does not have data protection laws equivalent to those prevailing in the European Economic Area);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299" w:name="page300"/>
    <w:bookmarkEnd w:id="299"/>
    <w:p>
      <w:pPr>
        <w:spacing w:after="0" w:line="204" w:lineRule="exact"/>
        <w:rPr>
          <w:sz w:val="20"/>
          <w:szCs w:val="20"/>
          <w:color w:val="auto"/>
        </w:rPr>
      </w:pPr>
    </w:p>
    <w:p>
      <w:pPr>
        <w:ind w:left="1380" w:right="20" w:hanging="628"/>
        <w:spacing w:after="0" w:line="251" w:lineRule="auto"/>
        <w:tabs>
          <w:tab w:leader="none" w:pos="1380" w:val="left"/>
        </w:tabs>
        <w:numPr>
          <w:ilvl w:val="0"/>
          <w:numId w:val="304"/>
        </w:numPr>
        <w:rPr>
          <w:rFonts w:ascii="Calibri" w:cs="Calibri" w:eastAsia="Calibri" w:hAnsi="Calibri"/>
          <w:sz w:val="18"/>
          <w:szCs w:val="18"/>
          <w:color w:val="auto"/>
        </w:rPr>
      </w:pPr>
      <w:r>
        <w:rPr>
          <w:rFonts w:ascii="Arial" w:cs="Arial" w:eastAsia="Arial" w:hAnsi="Arial"/>
          <w:sz w:val="20"/>
          <w:szCs w:val="20"/>
          <w:color w:val="auto"/>
        </w:rPr>
        <w:t>providing personal data to potential purchasers of the Company, the Participant' s employer or the business in which the Participant works.</w:t>
      </w:r>
    </w:p>
    <w:p>
      <w:pPr>
        <w:spacing w:after="0" w:line="149"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15.10</w:t>
      </w:r>
      <w:r>
        <w:rPr>
          <w:sz w:val="20"/>
          <w:szCs w:val="20"/>
          <w:color w:val="auto"/>
        </w:rPr>
        <w:tab/>
      </w:r>
      <w:r>
        <w:rPr>
          <w:rFonts w:ascii="Arial" w:cs="Arial" w:eastAsia="Arial" w:hAnsi="Arial"/>
          <w:sz w:val="19"/>
          <w:szCs w:val="19"/>
          <w:b w:val="1"/>
          <w:bCs w:val="1"/>
          <w:color w:val="auto"/>
        </w:rPr>
        <w:t>Governing law</w:t>
      </w:r>
    </w:p>
    <w:p>
      <w:pPr>
        <w:spacing w:after="0" w:line="240"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20"/>
          <w:szCs w:val="20"/>
          <w:color w:val="auto"/>
        </w:rPr>
        <w:t>The Plan and all Awards shall be governed by and construed in accordance with the law of England and Wales and the Courts of England and Wales have exclusive jurisdiction to hear any dispute.</w:t>
      </w:r>
    </w:p>
    <w:p>
      <w:pPr>
        <w:spacing w:after="0" w:line="117" w:lineRule="exact"/>
        <w:rPr>
          <w:sz w:val="20"/>
          <w:szCs w:val="20"/>
          <w:color w:val="auto"/>
        </w:rPr>
      </w:pPr>
    </w:p>
    <w:p>
      <w:pPr>
        <w:ind w:left="100"/>
        <w:spacing w:after="0"/>
        <w:tabs>
          <w:tab w:leader="none" w:pos="720" w:val="left"/>
        </w:tabs>
        <w:rPr>
          <w:sz w:val="20"/>
          <w:szCs w:val="20"/>
          <w:color w:val="auto"/>
        </w:rPr>
      </w:pPr>
      <w:r>
        <w:rPr>
          <w:rFonts w:ascii="Calibri" w:cs="Calibri" w:eastAsia="Calibri" w:hAnsi="Calibri"/>
          <w:sz w:val="20"/>
          <w:szCs w:val="20"/>
          <w:color w:val="auto"/>
        </w:rPr>
        <w:t>15.11</w:t>
      </w:r>
      <w:r>
        <w:rPr>
          <w:sz w:val="20"/>
          <w:szCs w:val="20"/>
          <w:color w:val="auto"/>
        </w:rPr>
        <w:tab/>
      </w:r>
      <w:r>
        <w:rPr>
          <w:rFonts w:ascii="Arial" w:cs="Arial" w:eastAsia="Arial" w:hAnsi="Arial"/>
          <w:sz w:val="19"/>
          <w:szCs w:val="19"/>
          <w:b w:val="1"/>
          <w:bCs w:val="1"/>
          <w:color w:val="auto"/>
        </w:rPr>
        <w:t>Section 409A</w:t>
      </w:r>
    </w:p>
    <w:p>
      <w:pPr>
        <w:spacing w:after="0" w:line="227"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Although neither the Company, the Committee nor any Group Member guarantees any particular tax treatment to a US Participant, all Awards granted to US Taxpayers are intended to be exempt from, or compliant with, the application of Section 409A of the IRS Code:</w:t>
      </w:r>
    </w:p>
    <w:p>
      <w:pPr>
        <w:spacing w:after="0" w:line="198" w:lineRule="exact"/>
        <w:rPr>
          <w:sz w:val="20"/>
          <w:szCs w:val="20"/>
          <w:color w:val="auto"/>
        </w:rPr>
      </w:pPr>
    </w:p>
    <w:p>
      <w:pPr>
        <w:ind w:left="1380" w:right="20" w:hanging="628"/>
        <w:spacing w:after="0" w:line="251" w:lineRule="auto"/>
        <w:tabs>
          <w:tab w:leader="none" w:pos="1380" w:val="left"/>
        </w:tabs>
        <w:numPr>
          <w:ilvl w:val="0"/>
          <w:numId w:val="305"/>
        </w:numPr>
        <w:rPr>
          <w:rFonts w:ascii="Calibri" w:cs="Calibri" w:eastAsia="Calibri" w:hAnsi="Calibri"/>
          <w:sz w:val="18"/>
          <w:szCs w:val="18"/>
          <w:color w:val="auto"/>
        </w:rPr>
      </w:pPr>
      <w:r>
        <w:rPr>
          <w:rFonts w:ascii="Arial" w:cs="Arial" w:eastAsia="Arial" w:hAnsi="Arial"/>
          <w:sz w:val="20"/>
          <w:szCs w:val="20"/>
          <w:color w:val="auto"/>
        </w:rPr>
        <w:t>in the case of Awards other than Regular Options, pursuant to the short-term deferral exception set forth Treas. Regs. §1.409A-1(b)(4)); and</w:t>
      </w:r>
    </w:p>
    <w:p>
      <w:pPr>
        <w:spacing w:after="0" w:line="160" w:lineRule="exact"/>
        <w:rPr>
          <w:rFonts w:ascii="Calibri" w:cs="Calibri" w:eastAsia="Calibri" w:hAnsi="Calibri"/>
          <w:sz w:val="18"/>
          <w:szCs w:val="18"/>
          <w:color w:val="auto"/>
        </w:rPr>
      </w:pPr>
    </w:p>
    <w:p>
      <w:pPr>
        <w:ind w:left="1400" w:hanging="648"/>
        <w:spacing w:after="0"/>
        <w:tabs>
          <w:tab w:leader="none" w:pos="1400" w:val="left"/>
        </w:tabs>
        <w:numPr>
          <w:ilvl w:val="0"/>
          <w:numId w:val="305"/>
        </w:numPr>
        <w:rPr>
          <w:rFonts w:ascii="Calibri" w:cs="Calibri" w:eastAsia="Calibri" w:hAnsi="Calibri"/>
          <w:sz w:val="18"/>
          <w:szCs w:val="18"/>
          <w:color w:val="auto"/>
        </w:rPr>
      </w:pPr>
      <w:r>
        <w:rPr>
          <w:rFonts w:ascii="Arial" w:cs="Arial" w:eastAsia="Arial" w:hAnsi="Arial"/>
          <w:sz w:val="20"/>
          <w:szCs w:val="20"/>
          <w:color w:val="auto"/>
        </w:rPr>
        <w:t>in the case of Regular Options, as options which are exempt from Section 409A;</w:t>
      </w:r>
    </w:p>
    <w:p>
      <w:pPr>
        <w:spacing w:after="0" w:line="196" w:lineRule="exact"/>
        <w:rPr>
          <w:sz w:val="20"/>
          <w:szCs w:val="20"/>
          <w:color w:val="auto"/>
        </w:rPr>
      </w:pPr>
    </w:p>
    <w:p>
      <w:pPr>
        <w:jc w:val="both"/>
        <w:ind w:left="740"/>
        <w:spacing w:after="0" w:line="241" w:lineRule="auto"/>
        <w:rPr>
          <w:sz w:val="20"/>
          <w:szCs w:val="20"/>
          <w:color w:val="auto"/>
        </w:rPr>
      </w:pPr>
      <w:r>
        <w:rPr>
          <w:rFonts w:ascii="Arial" w:cs="Arial" w:eastAsia="Arial" w:hAnsi="Arial"/>
          <w:sz w:val="20"/>
          <w:szCs w:val="20"/>
          <w:color w:val="auto"/>
        </w:rPr>
        <w:t>and this Plan shall be limited, construed and administered consistent with that intent. Accordingly, without limiting the generality of the foregoing and notwithstanding any Rule in the Plan to the contrary, in the case of Awards granted to US Taxpayers:</w:t>
      </w:r>
    </w:p>
    <w:p>
      <w:pPr>
        <w:spacing w:after="0" w:line="23" w:lineRule="exact"/>
        <w:rPr>
          <w:sz w:val="20"/>
          <w:szCs w:val="20"/>
          <w:color w:val="auto"/>
        </w:rPr>
      </w:pPr>
    </w:p>
    <w:p>
      <w:pPr>
        <w:jc w:val="both"/>
        <w:ind w:left="1380" w:hanging="628"/>
        <w:spacing w:after="0" w:line="229" w:lineRule="auto"/>
        <w:tabs>
          <w:tab w:leader="none" w:pos="1380" w:val="left"/>
        </w:tabs>
        <w:numPr>
          <w:ilvl w:val="0"/>
          <w:numId w:val="306"/>
        </w:numPr>
        <w:rPr>
          <w:rFonts w:ascii="Calibri" w:cs="Calibri" w:eastAsia="Calibri" w:hAnsi="Calibri"/>
          <w:sz w:val="18"/>
          <w:szCs w:val="18"/>
          <w:color w:val="auto"/>
        </w:rPr>
      </w:pPr>
      <w:r>
        <w:rPr>
          <w:rFonts w:ascii="Arial" w:cs="Arial" w:eastAsia="Arial" w:hAnsi="Arial"/>
          <w:sz w:val="20"/>
          <w:szCs w:val="20"/>
          <w:color w:val="auto"/>
        </w:rPr>
        <w:t>in any instance in which a new Regular Option is substituted for an outstanding Option pursuant to a corporate transaction or in any instance in which an outstanding Regular Option is assumed pursuant to a corporate transaction, the number of Shares and the Option Price shall be adjusted in accordance with the principles set forth in Sections 1.424-1(a)(5) and 1.409A-1(b)(5)(v)(D) of the Treasury Regulations. The instances in which there may be a substitution of a new Regular Option for an outstanding Option pursuant to a corporate transaction shall be limited to those corporate transactions authorized by the Plan but shall be further limited to only those corporate transactions described in Section 1.424(a)(3) of the Treasury Regulations. In the case of a stock split (including a reverse stock split), or stock dividend involving the Shares where the only effect of the stock split or stock dividend is to increase or decrease on a pro rata basis the number of Shares owned by each shareholder, the Option Price and the number of Shares subject to an Option shall be proportionally adjusted to reflect such stock split or stock dividend;</w:t>
      </w:r>
    </w:p>
    <w:p>
      <w:pPr>
        <w:spacing w:after="0" w:line="172" w:lineRule="exact"/>
        <w:rPr>
          <w:rFonts w:ascii="Calibri" w:cs="Calibri" w:eastAsia="Calibri" w:hAnsi="Calibri"/>
          <w:sz w:val="18"/>
          <w:szCs w:val="18"/>
          <w:color w:val="auto"/>
        </w:rPr>
      </w:pPr>
    </w:p>
    <w:p>
      <w:pPr>
        <w:jc w:val="both"/>
        <w:ind w:left="1380" w:hanging="628"/>
        <w:spacing w:after="0" w:line="239" w:lineRule="auto"/>
        <w:tabs>
          <w:tab w:leader="none" w:pos="1380" w:val="left"/>
        </w:tabs>
        <w:numPr>
          <w:ilvl w:val="0"/>
          <w:numId w:val="306"/>
        </w:numPr>
        <w:rPr>
          <w:rFonts w:ascii="Calibri" w:cs="Calibri" w:eastAsia="Calibri" w:hAnsi="Calibri"/>
          <w:sz w:val="18"/>
          <w:szCs w:val="18"/>
          <w:color w:val="auto"/>
        </w:rPr>
      </w:pPr>
      <w:r>
        <w:rPr>
          <w:rFonts w:ascii="Arial" w:cs="Arial" w:eastAsia="Arial" w:hAnsi="Arial"/>
          <w:sz w:val="20"/>
          <w:szCs w:val="20"/>
          <w:color w:val="auto"/>
        </w:rPr>
        <w:t>The Shares underlying any Regular Option granted to a US Taxpayer shall in all instances constitute "service recipient stock" and shall be issued by a Group Member that is, with respect to such US Taxpayer, an "eligible issuer of service recipient stock" for purposes of IRS Code Section 409A;</w:t>
      </w:r>
    </w:p>
    <w:p>
      <w:pPr>
        <w:spacing w:after="0" w:line="184" w:lineRule="exact"/>
        <w:rPr>
          <w:rFonts w:ascii="Calibri" w:cs="Calibri" w:eastAsia="Calibri" w:hAnsi="Calibri"/>
          <w:sz w:val="18"/>
          <w:szCs w:val="18"/>
          <w:color w:val="auto"/>
        </w:rPr>
      </w:pPr>
    </w:p>
    <w:p>
      <w:pPr>
        <w:jc w:val="both"/>
        <w:ind w:left="1380" w:hanging="628"/>
        <w:spacing w:after="0" w:line="230" w:lineRule="auto"/>
        <w:tabs>
          <w:tab w:leader="none" w:pos="1380" w:val="left"/>
        </w:tabs>
        <w:numPr>
          <w:ilvl w:val="0"/>
          <w:numId w:val="306"/>
        </w:numPr>
        <w:rPr>
          <w:rFonts w:ascii="Calibri" w:cs="Calibri" w:eastAsia="Calibri" w:hAnsi="Calibri"/>
          <w:sz w:val="18"/>
          <w:szCs w:val="18"/>
          <w:color w:val="auto"/>
        </w:rPr>
      </w:pPr>
      <w:r>
        <w:rPr>
          <w:rFonts w:ascii="Arial" w:cs="Arial" w:eastAsia="Arial" w:hAnsi="Arial"/>
          <w:sz w:val="20"/>
          <w:szCs w:val="20"/>
          <w:color w:val="auto"/>
        </w:rPr>
        <w:t>To the extent that any amount payable under the Plan constitutes non-exempt "deferred compensation" for purposes of Section 409A and would otherwise be payable or distributable under the Plan by reason of the occurrence of a corporate transaction, such amount or benefit will not be payable or distributable to the Participant who is a US Taxpayer by reason of such corporate transaction unless the circumstances giving rise to such corporate transaction constitutes a "change in control event" in Section 409A of the IRS Code. If this provision prevents the payment or distribution of any amount, such payment or distribution shall be made on the next earliest payment or distribution date or event specified in the Plan that is permissible under Section 409A;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206375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300" w:name="page301"/>
    <w:bookmarkEnd w:id="300"/>
    <w:p>
      <w:pPr>
        <w:jc w:val="both"/>
        <w:ind w:left="1400" w:right="120" w:hanging="628"/>
        <w:spacing w:after="0" w:line="228" w:lineRule="auto"/>
        <w:tabs>
          <w:tab w:leader="none" w:pos="1400" w:val="left"/>
        </w:tabs>
        <w:numPr>
          <w:ilvl w:val="0"/>
          <w:numId w:val="307"/>
        </w:numPr>
        <w:rPr>
          <w:rFonts w:ascii="Calibri" w:cs="Calibri" w:eastAsia="Calibri" w:hAnsi="Calibri"/>
          <w:sz w:val="18"/>
          <w:szCs w:val="18"/>
          <w:color w:val="auto"/>
        </w:rPr>
      </w:pPr>
      <w:r>
        <w:rPr>
          <w:rFonts w:ascii="Arial" w:cs="Arial" w:eastAsia="Arial" w:hAnsi="Arial"/>
          <w:sz w:val="20"/>
          <w:szCs w:val="20"/>
          <w:color w:val="auto"/>
        </w:rPr>
        <w:t>If any amount or benefit that constitutes non-exempt "deferred compensation" for purposes of Section 409A would otherwise be payable or distributable under this Plan by reason of a Participant' s separation from service during a period in which the Participant is a Specified Employee (as defined below), then, subject to any permissible acceleration of payment by the Committee under Treas. Reg. Section 1.409A -3(j)(4)(ii) (domestic relations order), (j)(4)(iii) (conflicts of interest), or (j)(4)(vi) (payment of employment taxes), the Participant' s right to receive payment or distribution of such non-exempt deferred compensation will be delayed until the earlier of the Participant' s death or the first day of the seventh month following the Participant' s separation from service. For purposes of this Plan, the term "Specified Employee" has the meaning given such term in Section 409A, provided, however, that, as permitted thereunder, the Company' s Specified Employees and its application of the six-month delay rule of IRS Code Section 409A(a)(2)(B)(i) shall be determined in accordance with rules adopted by the Committee, which shall be applied consistently with respect to all nonqualified deferred compensation arrangements of the Company applicable to US Taxpayers, including this Plan.</w:t>
      </w:r>
    </w:p>
    <w:p>
      <w:pPr>
        <w:spacing w:after="0" w:line="178" w:lineRule="exact"/>
        <w:rPr>
          <w:rFonts w:ascii="Calibri" w:cs="Calibri" w:eastAsia="Calibri" w:hAnsi="Calibri"/>
          <w:sz w:val="18"/>
          <w:szCs w:val="18"/>
          <w:color w:val="auto"/>
        </w:rPr>
      </w:pPr>
    </w:p>
    <w:p>
      <w:pPr>
        <w:jc w:val="both"/>
        <w:ind w:left="1400" w:right="120" w:hanging="628"/>
        <w:spacing w:after="0" w:line="231" w:lineRule="auto"/>
        <w:tabs>
          <w:tab w:leader="none" w:pos="1400" w:val="left"/>
        </w:tabs>
        <w:numPr>
          <w:ilvl w:val="0"/>
          <w:numId w:val="307"/>
        </w:numPr>
        <w:rPr>
          <w:rFonts w:ascii="Calibri" w:cs="Calibri" w:eastAsia="Calibri" w:hAnsi="Calibri"/>
          <w:sz w:val="18"/>
          <w:szCs w:val="18"/>
          <w:color w:val="auto"/>
        </w:rPr>
      </w:pPr>
      <w:r>
        <w:rPr>
          <w:rFonts w:ascii="Arial" w:cs="Arial" w:eastAsia="Arial" w:hAnsi="Arial"/>
          <w:sz w:val="20"/>
          <w:szCs w:val="20"/>
          <w:color w:val="auto"/>
        </w:rPr>
        <w:t>In the event any Award is subject to US Code Section 409A, the Board or the Company’s general counsel may, in their sole discretion and without a US Taxpayer’s prior consent, amend this Plan or the Award, adopt policies and procedures, or take any other actions as deemed appropriate by the Board or the Company’s general counsel to (i) exempt the Plan and/or any Award from the application of Section 409A, (ii) preserve the intended tax treatment of any such Award or (iii) comply with the requirements of Section 409A. Neither the Company nor any of its Subsidiaries shall be held liable for any taxes, interest, penalties or other amounts owed by a US Taxpayer under Section 409A.</w:t>
      </w:r>
    </w:p>
    <w:p>
      <w:pPr>
        <w:spacing w:after="0" w:line="172" w:lineRule="exact"/>
        <w:rPr>
          <w:rFonts w:ascii="Calibri" w:cs="Calibri" w:eastAsia="Calibri" w:hAnsi="Calibri"/>
          <w:sz w:val="18"/>
          <w:szCs w:val="18"/>
          <w:color w:val="auto"/>
        </w:rPr>
      </w:pPr>
    </w:p>
    <w:p>
      <w:pPr>
        <w:jc w:val="both"/>
        <w:ind w:left="1400" w:right="120" w:hanging="628"/>
        <w:spacing w:after="0" w:line="235" w:lineRule="auto"/>
        <w:tabs>
          <w:tab w:leader="none" w:pos="1400" w:val="left"/>
        </w:tabs>
        <w:numPr>
          <w:ilvl w:val="0"/>
          <w:numId w:val="307"/>
        </w:numPr>
        <w:rPr>
          <w:rFonts w:ascii="Calibri" w:cs="Calibri" w:eastAsia="Calibri" w:hAnsi="Calibri"/>
          <w:sz w:val="18"/>
          <w:szCs w:val="18"/>
          <w:color w:val="auto"/>
        </w:rPr>
      </w:pPr>
      <w:r>
        <w:rPr>
          <w:rFonts w:ascii="Arial" w:cs="Arial" w:eastAsia="Arial" w:hAnsi="Arial"/>
          <w:sz w:val="20"/>
          <w:szCs w:val="20"/>
          <w:color w:val="auto"/>
        </w:rPr>
        <w:t>It is intended that each installment of the payments and benefits provided under this Plan shall be treated as a separate “payment” for purposes of Section 409A. Neither the Company nor the Participant shall have the right to accelerate or defer the delivery of any such payments or benefits except to the extent specifically permitted or required by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highlight w:val="black"/>
        </w:rPr>
        <w:t>REGULAR OPTION GRANT DEED</w:t>
      </w:r>
    </w:p>
    <w:p>
      <w:pPr>
        <w:spacing w:after="0" w:line="257"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color w:val="auto"/>
        </w:rPr>
        <w:t xml:space="preserve">This Deed is entered into on the 1 September 2020 by </w:t>
      </w:r>
      <w:r>
        <w:rPr>
          <w:rFonts w:ascii="Arial" w:cs="Arial" w:eastAsia="Arial" w:hAnsi="Arial"/>
          <w:sz w:val="17"/>
          <w:szCs w:val="17"/>
          <w:color w:val="auto"/>
          <w:highlight w:val="black"/>
        </w:rPr>
        <w:t>NuCana plc</w:t>
      </w:r>
      <w:r>
        <w:rPr>
          <w:rFonts w:ascii="Arial" w:cs="Arial" w:eastAsia="Arial" w:hAnsi="Arial"/>
          <w:sz w:val="17"/>
          <w:szCs w:val="17"/>
          <w:color w:val="auto"/>
        </w:rPr>
        <w:t xml:space="preserve"> (03308778) whose registered office is at 77-78 Cannon Street, London, England, EC4N 6AF (“the </w:t>
      </w:r>
      <w:r>
        <w:rPr>
          <w:rFonts w:ascii="Arial" w:cs="Arial" w:eastAsia="Arial" w:hAnsi="Arial"/>
          <w:sz w:val="17"/>
          <w:szCs w:val="17"/>
          <w:color w:val="auto"/>
          <w:highlight w:val="black"/>
        </w:rPr>
        <w:t>Company”)</w:t>
      </w:r>
      <w:r>
        <w:rPr>
          <w:rFonts w:ascii="Arial" w:cs="Arial" w:eastAsia="Arial" w:hAnsi="Arial"/>
          <w:sz w:val="17"/>
          <w:szCs w:val="17"/>
          <w:color w:val="auto"/>
        </w:rPr>
        <w:t xml:space="preserve"> in favour of [</w:t>
      </w:r>
      <w:r>
        <w:rPr>
          <w:rFonts w:ascii="Arial" w:cs="Arial" w:eastAsia="Arial" w:hAnsi="Arial"/>
          <w:sz w:val="17"/>
          <w:szCs w:val="17"/>
          <w:color w:val="auto"/>
          <w:highlight w:val="black"/>
        </w:rPr>
        <w:t>option holder’s name</w:t>
      </w:r>
      <w:r>
        <w:rPr>
          <w:rFonts w:ascii="Arial" w:cs="Arial" w:eastAsia="Arial" w:hAnsi="Arial"/>
          <w:sz w:val="17"/>
          <w:szCs w:val="17"/>
          <w:color w:val="auto"/>
        </w:rPr>
        <w:t xml:space="preserve">] of [option holder’s address] (hereinafter referred to as "the </w:t>
      </w:r>
      <w:r>
        <w:rPr>
          <w:rFonts w:ascii="Arial" w:cs="Arial" w:eastAsia="Arial" w:hAnsi="Arial"/>
          <w:sz w:val="17"/>
          <w:szCs w:val="17"/>
          <w:color w:val="auto"/>
          <w:highlight w:val="black"/>
        </w:rPr>
        <w:t xml:space="preserve">Participant") </w:t>
      </w:r>
      <w:r>
        <w:rPr>
          <w:rFonts w:ascii="Arial" w:cs="Arial" w:eastAsia="Arial" w:hAnsi="Arial"/>
          <w:sz w:val="17"/>
          <w:szCs w:val="17"/>
          <w:color w:val="auto"/>
        </w:rPr>
        <w:t>in terms of which the Company hereby grants a Regular Option to the Participant on the following terms.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highlight w:val="black"/>
        </w:rPr>
        <w:t>RECITALS</w:t>
      </w:r>
    </w:p>
    <w:p>
      <w:pPr>
        <w:spacing w:after="0" w:line="234" w:lineRule="exact"/>
        <w:rPr>
          <w:sz w:val="20"/>
          <w:szCs w:val="20"/>
          <w:color w:val="auto"/>
        </w:rPr>
      </w:pPr>
    </w:p>
    <w:p>
      <w:pPr>
        <w:ind w:left="740" w:hanging="732"/>
        <w:spacing w:after="0" w:line="284" w:lineRule="auto"/>
        <w:tabs>
          <w:tab w:leader="none" w:pos="36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This Regular Option is granted subject to the rules of the NUCANA PLC 2020 LONG-TERM INCENTIVE PLAN (“the </w:t>
      </w:r>
      <w:r>
        <w:rPr>
          <w:rFonts w:ascii="Arial" w:cs="Arial" w:eastAsia="Arial" w:hAnsi="Arial"/>
          <w:sz w:val="17"/>
          <w:szCs w:val="17"/>
          <w:color w:val="auto"/>
          <w:highlight w:val="black"/>
        </w:rPr>
        <w:t>Scheme”)</w:t>
      </w:r>
      <w:r>
        <w:rPr>
          <w:rFonts w:ascii="Arial" w:cs="Arial" w:eastAsia="Arial" w:hAnsi="Arial"/>
          <w:sz w:val="17"/>
          <w:szCs w:val="17"/>
          <w:color w:val="auto"/>
        </w:rPr>
        <w:t xml:space="preserve"> on date set out above (“</w:t>
      </w:r>
      <w:r>
        <w:rPr>
          <w:rFonts w:ascii="Arial" w:cs="Arial" w:eastAsia="Arial" w:hAnsi="Arial"/>
          <w:sz w:val="17"/>
          <w:szCs w:val="17"/>
          <w:color w:val="auto"/>
          <w:highlight w:val="black"/>
        </w:rPr>
        <w:t>the Grant Date</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left="740" w:hanging="732"/>
        <w:spacing w:after="0" w:line="284" w:lineRule="auto"/>
        <w:tabs>
          <w:tab w:leader="none" w:pos="36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A copy of the rules of the Scheme, which are appended to this Deed, provides for the grant of Awards for commercial reasons in order to recruit, retain and/or reward Eligible Persons (“the </w:t>
      </w:r>
      <w:r>
        <w:rPr>
          <w:rFonts w:ascii="Arial" w:cs="Arial" w:eastAsia="Arial" w:hAnsi="Arial"/>
          <w:sz w:val="17"/>
          <w:szCs w:val="17"/>
          <w:color w:val="auto"/>
          <w:highlight w:val="black"/>
        </w:rPr>
        <w:t>Rules”)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01" w:name="page302"/>
    <w:bookmarkEnd w:id="301"/>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highlight w:val="black"/>
        </w:rPr>
        <w:t>NOW THIS DEED WITNESSES</w:t>
      </w:r>
    </w:p>
    <w:p>
      <w:pPr>
        <w:spacing w:after="0" w:line="199" w:lineRule="exact"/>
        <w:rPr>
          <w:sz w:val="20"/>
          <w:szCs w:val="20"/>
          <w:color w:val="auto"/>
        </w:rPr>
      </w:pPr>
    </w:p>
    <w:p>
      <w:pPr>
        <w:ind w:left="360" w:hanging="352"/>
        <w:spacing w:after="0"/>
        <w:tabs>
          <w:tab w:leader="none" w:pos="3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In this Deed the definitions in the Rules shall apply.</w:t>
      </w:r>
    </w:p>
    <w:p>
      <w:pPr>
        <w:spacing w:after="0" w:line="257" w:lineRule="exact"/>
        <w:rPr>
          <w:rFonts w:ascii="Arial" w:cs="Arial" w:eastAsia="Arial" w:hAnsi="Arial"/>
          <w:sz w:val="17"/>
          <w:szCs w:val="17"/>
          <w:color w:val="auto"/>
        </w:rPr>
      </w:pPr>
    </w:p>
    <w:p>
      <w:pPr>
        <w:ind w:left="740" w:hanging="662"/>
        <w:spacing w:after="0" w:line="262" w:lineRule="auto"/>
        <w:tabs>
          <w:tab w:leader="none" w:pos="39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The Company hereby grants to the Participant the Regular Option to acquire a maximum of [</w:t>
      </w:r>
      <w:r>
        <w:rPr>
          <w:rFonts w:ascii="Times New Roman" w:cs="Times New Roman" w:eastAsia="Times New Roman" w:hAnsi="Times New Roman"/>
          <w:sz w:val="18"/>
          <w:szCs w:val="18"/>
          <w:color w:val="0A0A0A"/>
        </w:rPr>
        <w:t>•</w:t>
      </w:r>
      <w:r>
        <w:rPr>
          <w:rFonts w:ascii="Arial" w:cs="Arial" w:eastAsia="Arial" w:hAnsi="Arial"/>
          <w:sz w:val="17"/>
          <w:szCs w:val="17"/>
          <w:color w:val="auto"/>
        </w:rPr>
        <w:t>] Shares, at an Option Price of [</w:t>
      </w:r>
      <w:r>
        <w:rPr>
          <w:rFonts w:ascii="Times New Roman" w:cs="Times New Roman" w:eastAsia="Times New Roman" w:hAnsi="Times New Roman"/>
          <w:sz w:val="18"/>
          <w:szCs w:val="18"/>
          <w:color w:val="0A0A0A"/>
        </w:rPr>
        <w:t>•</w:t>
      </w:r>
      <w:r>
        <w:rPr>
          <w:rFonts w:ascii="Arial" w:cs="Arial" w:eastAsia="Arial" w:hAnsi="Arial"/>
          <w:sz w:val="17"/>
          <w:szCs w:val="17"/>
          <w:color w:val="auto"/>
        </w:rPr>
        <w:t>] per Share.</w:t>
      </w:r>
    </w:p>
    <w:p>
      <w:pPr>
        <w:spacing w:after="0" w:line="200" w:lineRule="exact"/>
        <w:rPr>
          <w:sz w:val="20"/>
          <w:szCs w:val="20"/>
          <w:color w:val="auto"/>
        </w:rPr>
      </w:pPr>
    </w:p>
    <w:p>
      <w:pPr>
        <w:spacing w:after="0" w:line="265" w:lineRule="exact"/>
        <w:rPr>
          <w:sz w:val="20"/>
          <w:szCs w:val="20"/>
          <w:color w:val="auto"/>
        </w:rPr>
      </w:pPr>
    </w:p>
    <w:p>
      <w:pPr>
        <w:ind w:left="620" w:hanging="612"/>
        <w:spacing w:after="0"/>
        <w:tabs>
          <w:tab w:leader="none" w:pos="620" w:val="left"/>
        </w:tabs>
        <w:numPr>
          <w:ilvl w:val="0"/>
          <w:numId w:val="310"/>
        </w:numPr>
        <w:rPr>
          <w:rFonts w:ascii="Arial" w:cs="Arial" w:eastAsia="Arial" w:hAnsi="Arial"/>
          <w:sz w:val="17"/>
          <w:szCs w:val="17"/>
          <w:color w:val="auto"/>
        </w:rPr>
      </w:pPr>
      <w:r>
        <w:rPr>
          <w:rFonts w:ascii="Arial" w:cs="Arial" w:eastAsia="Arial" w:hAnsi="Arial"/>
          <w:sz w:val="17"/>
          <w:szCs w:val="17"/>
          <w:color w:val="auto"/>
          <w:highlight w:val="black"/>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-14605</wp:posOffset>
            </wp:positionV>
            <wp:extent cx="41211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6">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217"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options shall be exercisable as follows:</w:t>
      </w:r>
    </w:p>
    <w:p>
      <w:pPr>
        <w:spacing w:after="0" w:line="206" w:lineRule="exact"/>
        <w:rPr>
          <w:sz w:val="20"/>
          <w:szCs w:val="20"/>
          <w:color w:val="auto"/>
        </w:rPr>
      </w:pPr>
    </w:p>
    <w:p>
      <w:pPr>
        <w:ind w:left="1480" w:right="440" w:hanging="735"/>
        <w:spacing w:after="0" w:line="303" w:lineRule="auto"/>
        <w:tabs>
          <w:tab w:leader="none" w:pos="14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options over [</w:t>
      </w:r>
      <w:r>
        <w:rPr>
          <w:rFonts w:ascii="Times New Roman" w:cs="Times New Roman" w:eastAsia="Times New Roman" w:hAnsi="Times New Roman"/>
          <w:sz w:val="18"/>
          <w:szCs w:val="18"/>
          <w:color w:val="0A0A0A"/>
        </w:rPr>
        <w:t>•</w:t>
      </w:r>
      <w:r>
        <w:rPr>
          <w:rFonts w:ascii="Arial" w:cs="Arial" w:eastAsia="Arial" w:hAnsi="Arial"/>
          <w:sz w:val="17"/>
          <w:szCs w:val="17"/>
          <w:color w:val="auto"/>
        </w:rPr>
        <w:t xml:space="preserve">] Shares may be exercised at any time after the date falling 12 months from the Grant Date (“the </w:t>
      </w:r>
      <w:r>
        <w:rPr>
          <w:rFonts w:ascii="Arial" w:cs="Arial" w:eastAsia="Arial" w:hAnsi="Arial"/>
          <w:sz w:val="17"/>
          <w:szCs w:val="17"/>
          <w:color w:val="auto"/>
          <w:highlight w:val="black"/>
        </w:rPr>
        <w:t>First</w:t>
      </w:r>
      <w:r>
        <w:rPr>
          <w:rFonts w:ascii="Arial" w:cs="Arial" w:eastAsia="Arial" w:hAnsi="Arial"/>
          <w:sz w:val="17"/>
          <w:szCs w:val="17"/>
          <w:color w:val="auto"/>
        </w:rPr>
        <w:t xml:space="preserve"> </w:t>
      </w:r>
      <w:r>
        <w:rPr>
          <w:rFonts w:ascii="Arial" w:cs="Arial" w:eastAsia="Arial" w:hAnsi="Arial"/>
          <w:sz w:val="17"/>
          <w:szCs w:val="17"/>
          <w:color w:val="auto"/>
          <w:highlight w:val="black"/>
        </w:rPr>
        <w:t xml:space="preserve">Anniversary”) </w:t>
      </w:r>
      <w:r>
        <w:rPr>
          <w:rFonts w:ascii="Arial" w:cs="Arial" w:eastAsia="Arial" w:hAnsi="Arial"/>
          <w:sz w:val="17"/>
          <w:szCs w:val="17"/>
          <w:color w:val="auto"/>
        </w:rPr>
        <w:t>provided the Participant is an Engaged Person on the First Anniversary;</w:t>
      </w:r>
    </w:p>
    <w:p>
      <w:pPr>
        <w:spacing w:after="0" w:line="152" w:lineRule="exact"/>
        <w:rPr>
          <w:rFonts w:ascii="Arial" w:cs="Arial" w:eastAsia="Arial" w:hAnsi="Arial"/>
          <w:sz w:val="17"/>
          <w:szCs w:val="17"/>
          <w:color w:val="auto"/>
        </w:rPr>
      </w:pPr>
    </w:p>
    <w:p>
      <w:pPr>
        <w:ind w:left="1500" w:right="20" w:hanging="743"/>
        <w:spacing w:after="0" w:line="303" w:lineRule="auto"/>
        <w:tabs>
          <w:tab w:leader="none" w:pos="150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options over a further [</w:t>
      </w:r>
      <w:r>
        <w:rPr>
          <w:rFonts w:ascii="Times New Roman" w:cs="Times New Roman" w:eastAsia="Times New Roman" w:hAnsi="Times New Roman"/>
          <w:sz w:val="18"/>
          <w:szCs w:val="18"/>
          <w:color w:val="0A0A0A"/>
        </w:rPr>
        <w:t>•</w:t>
      </w:r>
      <w:r>
        <w:rPr>
          <w:rFonts w:ascii="Arial" w:cs="Arial" w:eastAsia="Arial" w:hAnsi="Arial"/>
          <w:sz w:val="17"/>
          <w:szCs w:val="17"/>
          <w:color w:val="auto"/>
        </w:rPr>
        <w:t xml:space="preserve">] Shares may be exercised at any time after the date falling 24 months from the Grant Date (“the </w:t>
      </w:r>
      <w:r>
        <w:rPr>
          <w:rFonts w:ascii="Arial" w:cs="Arial" w:eastAsia="Arial" w:hAnsi="Arial"/>
          <w:sz w:val="17"/>
          <w:szCs w:val="17"/>
          <w:color w:val="auto"/>
          <w:highlight w:val="black"/>
        </w:rPr>
        <w:t>Second Anniversary</w:t>
      </w:r>
      <w:r>
        <w:rPr>
          <w:rFonts w:ascii="Arial" w:cs="Arial" w:eastAsia="Arial" w:hAnsi="Arial"/>
          <w:sz w:val="17"/>
          <w:szCs w:val="17"/>
          <w:color w:val="auto"/>
        </w:rPr>
        <w:t>”) provided the Participant is an Engaged Person on the Second Anniversary;</w:t>
      </w:r>
    </w:p>
    <w:p>
      <w:pPr>
        <w:spacing w:after="0" w:line="152" w:lineRule="exact"/>
        <w:rPr>
          <w:rFonts w:ascii="Arial" w:cs="Arial" w:eastAsia="Arial" w:hAnsi="Arial"/>
          <w:sz w:val="17"/>
          <w:szCs w:val="17"/>
          <w:color w:val="auto"/>
        </w:rPr>
      </w:pPr>
    </w:p>
    <w:p>
      <w:pPr>
        <w:ind w:left="1500" w:right="20" w:hanging="743"/>
        <w:spacing w:after="0" w:line="303" w:lineRule="auto"/>
        <w:tabs>
          <w:tab w:leader="none" w:pos="150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options over a further [</w:t>
      </w:r>
      <w:r>
        <w:rPr>
          <w:rFonts w:ascii="Times New Roman" w:cs="Times New Roman" w:eastAsia="Times New Roman" w:hAnsi="Times New Roman"/>
          <w:sz w:val="18"/>
          <w:szCs w:val="18"/>
          <w:color w:val="0A0A0A"/>
        </w:rPr>
        <w:t>•</w:t>
      </w:r>
      <w:r>
        <w:rPr>
          <w:rFonts w:ascii="Arial" w:cs="Arial" w:eastAsia="Arial" w:hAnsi="Arial"/>
          <w:sz w:val="17"/>
          <w:szCs w:val="17"/>
          <w:color w:val="auto"/>
        </w:rPr>
        <w:t xml:space="preserve">] Shares may be exercised at any time after the date falling 36 months from the Grant Date (“the </w:t>
      </w:r>
      <w:r>
        <w:rPr>
          <w:rFonts w:ascii="Arial" w:cs="Arial" w:eastAsia="Arial" w:hAnsi="Arial"/>
          <w:sz w:val="17"/>
          <w:szCs w:val="17"/>
          <w:color w:val="auto"/>
          <w:highlight w:val="black"/>
        </w:rPr>
        <w:t>Third Anniversary</w:t>
      </w:r>
      <w:r>
        <w:rPr>
          <w:rFonts w:ascii="Arial" w:cs="Arial" w:eastAsia="Arial" w:hAnsi="Arial"/>
          <w:sz w:val="17"/>
          <w:szCs w:val="17"/>
          <w:color w:val="auto"/>
        </w:rPr>
        <w:t>”) provided the Participant is an Engaged Person on the Third Anniversary; and</w:t>
      </w:r>
    </w:p>
    <w:p>
      <w:pPr>
        <w:spacing w:after="0" w:line="152" w:lineRule="exact"/>
        <w:rPr>
          <w:rFonts w:ascii="Arial" w:cs="Arial" w:eastAsia="Arial" w:hAnsi="Arial"/>
          <w:sz w:val="17"/>
          <w:szCs w:val="17"/>
          <w:color w:val="auto"/>
        </w:rPr>
      </w:pPr>
    </w:p>
    <w:p>
      <w:pPr>
        <w:ind w:left="1500" w:right="460" w:hanging="743"/>
        <w:spacing w:after="0" w:line="274" w:lineRule="auto"/>
        <w:tabs>
          <w:tab w:leader="none" w:pos="150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options the final [</w:t>
      </w:r>
      <w:r>
        <w:rPr>
          <w:rFonts w:ascii="Times New Roman" w:cs="Times New Roman" w:eastAsia="Times New Roman" w:hAnsi="Times New Roman"/>
          <w:sz w:val="18"/>
          <w:szCs w:val="18"/>
          <w:color w:val="0A0A0A"/>
        </w:rPr>
        <w:t>•</w:t>
      </w:r>
      <w:r>
        <w:rPr>
          <w:rFonts w:ascii="Arial" w:cs="Arial" w:eastAsia="Arial" w:hAnsi="Arial"/>
          <w:sz w:val="17"/>
          <w:szCs w:val="17"/>
          <w:color w:val="auto"/>
        </w:rPr>
        <w:t xml:space="preserve">] Shares may be exercised at any time after the date falling 48 months from the Grant Date (“the </w:t>
      </w:r>
      <w:r>
        <w:rPr>
          <w:rFonts w:ascii="Arial" w:cs="Arial" w:eastAsia="Arial" w:hAnsi="Arial"/>
          <w:sz w:val="17"/>
          <w:szCs w:val="17"/>
          <w:color w:val="auto"/>
          <w:highlight w:val="black"/>
        </w:rPr>
        <w:t>Fourth Anniversary</w:t>
      </w:r>
      <w:r>
        <w:rPr>
          <w:rFonts w:ascii="Arial" w:cs="Arial" w:eastAsia="Arial" w:hAnsi="Arial"/>
          <w:sz w:val="17"/>
          <w:szCs w:val="17"/>
          <w:color w:val="auto"/>
        </w:rPr>
        <w:t>”) provided the Participant is an Engaged Person on the Fourth Anniversary;</w:t>
      </w:r>
    </w:p>
    <w:p>
      <w:pPr>
        <w:spacing w:after="0" w:line="279" w:lineRule="exact"/>
        <w:rPr>
          <w:sz w:val="20"/>
          <w:szCs w:val="20"/>
          <w:color w:val="auto"/>
        </w:rPr>
      </w:pPr>
    </w:p>
    <w:p>
      <w:pPr>
        <w:ind w:left="740"/>
        <w:spacing w:after="0" w:line="239" w:lineRule="auto"/>
        <w:rPr>
          <w:sz w:val="20"/>
          <w:szCs w:val="20"/>
          <w:color w:val="auto"/>
        </w:rPr>
      </w:pPr>
      <w:r>
        <w:rPr>
          <w:rFonts w:ascii="Arial" w:cs="Arial" w:eastAsia="Arial" w:hAnsi="Arial"/>
          <w:sz w:val="17"/>
          <w:szCs w:val="17"/>
          <w:color w:val="auto"/>
        </w:rPr>
        <w:t>and in each case provided any such exercise is also made in accordance with the Rules. The terms Vest, Vesting and Vested shall have the meaning set out in the Rules and accordingly the term “unvested“ shall mean an Award which has not yet Vested.</w:t>
      </w:r>
    </w:p>
    <w:p>
      <w:pPr>
        <w:spacing w:after="0" w:line="259" w:lineRule="exact"/>
        <w:rPr>
          <w:sz w:val="20"/>
          <w:szCs w:val="20"/>
          <w:color w:val="auto"/>
        </w:rPr>
      </w:pPr>
    </w:p>
    <w:p>
      <w:pPr>
        <w:ind w:left="740" w:right="60" w:hanging="732"/>
        <w:spacing w:after="0" w:line="239" w:lineRule="auto"/>
        <w:tabs>
          <w:tab w:leader="none" w:pos="7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Upon the Participant ceasing to be an Engaged Person for any reason all Options which are unvested shall lapse in accordance with Rule 11.1 save where the Rules or this Deed provide otherwise.</w:t>
      </w:r>
    </w:p>
    <w:p>
      <w:pPr>
        <w:spacing w:after="0" w:line="259" w:lineRule="exact"/>
        <w:rPr>
          <w:sz w:val="20"/>
          <w:szCs w:val="20"/>
          <w:color w:val="auto"/>
        </w:rPr>
      </w:pPr>
    </w:p>
    <w:p>
      <w:pPr>
        <w:ind w:left="740" w:right="160" w:hanging="732"/>
        <w:spacing w:after="0" w:line="256" w:lineRule="auto"/>
        <w:tabs>
          <w:tab w:leader="none" w:pos="7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Where an event described in either Rule 12.1 (a) and/or Rule 12.1 (b) occurs (“</w:t>
      </w:r>
      <w:r>
        <w:rPr>
          <w:rFonts w:ascii="Arial" w:cs="Arial" w:eastAsia="Arial" w:hAnsi="Arial"/>
          <w:sz w:val="17"/>
          <w:szCs w:val="17"/>
          <w:color w:val="auto"/>
          <w:highlight w:val="black"/>
        </w:rPr>
        <w:t>a Rule 12.1 Event</w:t>
      </w:r>
      <w:r>
        <w:rPr>
          <w:rFonts w:ascii="Arial" w:cs="Arial" w:eastAsia="Arial" w:hAnsi="Arial"/>
          <w:sz w:val="17"/>
          <w:szCs w:val="17"/>
          <w:color w:val="auto"/>
        </w:rPr>
        <w:t>”) and where the Committee determine that any part of the Option does not Vest on an Early Vesting Date, pursuant to Rule 12.1 and 12.5, any such unvested Option shall not lapse in accordance with Rule 12.1 (ii) but, subject always to clause 3.2 at all times, such unvested Option shall Vest on the following events:-</w:t>
      </w:r>
    </w:p>
    <w:p>
      <w:pPr>
        <w:spacing w:after="0" w:line="246" w:lineRule="exact"/>
        <w:rPr>
          <w:sz w:val="20"/>
          <w:szCs w:val="20"/>
          <w:color w:val="auto"/>
        </w:rPr>
      </w:pPr>
    </w:p>
    <w:p>
      <w:pPr>
        <w:jc w:val="both"/>
        <w:ind w:left="760" w:right="80" w:hanging="748"/>
        <w:spacing w:after="0" w:line="252" w:lineRule="auto"/>
        <w:tabs>
          <w:tab w:leader="none" w:pos="74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where, after the Rule 12.1 Event, the vesting conditions set out in clauses 3.1 (a) to (d) to any such unvested Options are satisfied on the relevant vesting anniversaries occurring (a “Post Event Vested Option”) the Participant shall remain entitled to exercise the Post Event Vested Option within the period of 30 days following it Vesting on the relevant anniversary;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34" w:lineRule="exact"/>
        <w:rPr>
          <w:sz w:val="20"/>
          <w:szCs w:val="20"/>
          <w:color w:val="auto"/>
        </w:rPr>
      </w:pPr>
    </w:p>
    <w:p>
      <w:pPr>
        <w:ind w:left="760" w:right="40" w:hanging="748"/>
        <w:spacing w:after="0" w:line="252" w:lineRule="auto"/>
        <w:tabs>
          <w:tab w:leader="none" w:pos="74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7"/>
          <w:szCs w:val="17"/>
          <w:color w:val="auto"/>
        </w:rPr>
        <w:t>where on, or within the 3 months following, a Rule 12.1 Event the Participant receives notice to terminate his status as an Engaged Person (or such status is terminated without notice) any such unvested Options shall Vest (a “Post Event Vested Option”) and the Participant shall remain entitled to exercise the Post Event Vested Option within the period of 30 days following it Vesting; OR</w:t>
      </w:r>
    </w:p>
    <w:p>
      <w:pPr>
        <w:spacing w:after="0" w:line="2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7"/>
          <w:szCs w:val="17"/>
          <w:color w:val="auto"/>
        </w:rPr>
        <w:t>where following a Rule 12.1 Event:-</w:t>
      </w:r>
    </w:p>
    <w:p>
      <w:pPr>
        <w:spacing w:after="0" w:line="237" w:lineRule="exact"/>
        <w:rPr>
          <w:sz w:val="20"/>
          <w:szCs w:val="20"/>
          <w:color w:val="auto"/>
        </w:rPr>
      </w:pPr>
    </w:p>
    <w:p>
      <w:pPr>
        <w:ind w:left="2180" w:hanging="675"/>
        <w:spacing w:after="0"/>
        <w:tabs>
          <w:tab w:leader="none" w:pos="21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Participant remains an Engaged Person; and</w:t>
      </w:r>
    </w:p>
    <w:p>
      <w:pPr>
        <w:spacing w:after="0" w:line="236" w:lineRule="exact"/>
        <w:rPr>
          <w:rFonts w:ascii="Arial" w:cs="Arial" w:eastAsia="Arial" w:hAnsi="Arial"/>
          <w:sz w:val="17"/>
          <w:szCs w:val="17"/>
          <w:color w:val="auto"/>
        </w:rPr>
      </w:pPr>
    </w:p>
    <w:p>
      <w:pPr>
        <w:ind w:left="2180" w:hanging="675"/>
        <w:spacing w:after="0"/>
        <w:tabs>
          <w:tab w:leader="none" w:pos="21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one of the following conditions is also satisfied:-</w:t>
      </w:r>
    </w:p>
    <w:p>
      <w:pPr>
        <w:spacing w:after="0" w:line="234" w:lineRule="exact"/>
        <w:rPr>
          <w:rFonts w:ascii="Arial" w:cs="Arial" w:eastAsia="Arial" w:hAnsi="Arial"/>
          <w:sz w:val="17"/>
          <w:szCs w:val="17"/>
          <w:color w:val="auto"/>
        </w:rPr>
      </w:pPr>
    </w:p>
    <w:p>
      <w:pPr>
        <w:ind w:left="1980" w:hanging="380"/>
        <w:spacing w:after="0" w:line="284" w:lineRule="auto"/>
        <w:tabs>
          <w:tab w:leader="none" w:pos="1965"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The Participant has experienced a material reduction in his base compensation payable on or around the Grant Date or as the same may be increased from time to time; or</w:t>
      </w:r>
    </w:p>
    <w:p>
      <w:pPr>
        <w:spacing w:after="0" w:line="163" w:lineRule="exact"/>
        <w:rPr>
          <w:rFonts w:ascii="Arial" w:cs="Arial" w:eastAsia="Arial" w:hAnsi="Arial"/>
          <w:sz w:val="17"/>
          <w:szCs w:val="17"/>
          <w:color w:val="auto"/>
        </w:rPr>
      </w:pPr>
    </w:p>
    <w:p>
      <w:pPr>
        <w:ind w:left="1960" w:hanging="360"/>
        <w:spacing w:after="0"/>
        <w:tabs>
          <w:tab w:leader="none" w:pos="196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The Participant has experienced a material change or reduction in his authority, duties, reporting or responsibilities,</w:t>
      </w:r>
    </w:p>
    <w:p>
      <w:pPr>
        <w:sectPr>
          <w:pgSz w:w="11900" w:h="16838" w:orient="portrait"/>
          <w:cols w:equalWidth="0" w:num="1">
            <w:col w:w="11240"/>
          </w:cols>
          <w:pgMar w:left="320" w:top="1440" w:right="339" w:bottom="1440" w:gutter="0" w:footer="0" w:header="0"/>
        </w:sectPr>
      </w:pPr>
    </w:p>
    <w:p>
      <w:pPr>
        <w:spacing w:after="0" w:line="92" w:lineRule="exact"/>
        <w:rPr>
          <w:sz w:val="20"/>
          <w:szCs w:val="20"/>
          <w:color w:val="auto"/>
        </w:rPr>
      </w:pPr>
    </w:p>
    <w:p>
      <w:pPr>
        <w:ind w:left="1980"/>
        <w:spacing w:after="0" w:line="252" w:lineRule="auto"/>
        <w:rPr>
          <w:sz w:val="20"/>
          <w:szCs w:val="20"/>
          <w:color w:val="auto"/>
        </w:rPr>
      </w:pPr>
      <w:r>
        <w:rPr>
          <w:rFonts w:ascii="Arial" w:cs="Arial" w:eastAsia="Arial" w:hAnsi="Arial"/>
          <w:sz w:val="17"/>
          <w:szCs w:val="17"/>
          <w:color w:val="auto"/>
        </w:rPr>
        <w:t>provided, however, that a change in job title shall not Participant’s new authority, duties, reporting or responsibilities the prior authority, duties, reporting or responsibilities.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right"/>
        <w:spacing w:after="0" w:line="239" w:lineRule="auto"/>
        <w:rPr>
          <w:sz w:val="20"/>
          <w:szCs w:val="20"/>
          <w:color w:val="auto"/>
        </w:rPr>
      </w:pPr>
      <w:r>
        <w:rPr>
          <w:rFonts w:ascii="Arial" w:cs="Arial" w:eastAsia="Arial" w:hAnsi="Arial"/>
          <w:sz w:val="17"/>
          <w:szCs w:val="17"/>
          <w:color w:val="auto"/>
        </w:rPr>
        <w:t>be  deemed  a "material  reduction" unless  the are substantially  changed  or  reduced  from</w:t>
      </w:r>
    </w:p>
    <w:p>
      <w:pPr>
        <w:spacing w:after="0" w:line="426" w:lineRule="exact"/>
        <w:rPr>
          <w:sz w:val="20"/>
          <w:szCs w:val="20"/>
          <w:color w:val="auto"/>
        </w:rPr>
      </w:pPr>
    </w:p>
    <w:p>
      <w:pPr>
        <w:sectPr>
          <w:pgSz w:w="11900" w:h="16838" w:orient="portrait"/>
          <w:cols w:equalWidth="0" w:num="2">
            <w:col w:w="7220" w:space="20"/>
            <w:col w:w="4000"/>
          </w:cols>
          <w:pgMar w:left="320" w:top="1440" w:right="339" w:bottom="1440" w:gutter="0" w:footer="0" w:header="0"/>
          <w:type w:val="continuous"/>
        </w:sectPr>
      </w:pPr>
    </w:p>
    <w:p>
      <w:pPr>
        <w:spacing w:after="0" w:line="48" w:lineRule="exact"/>
        <w:rPr>
          <w:sz w:val="20"/>
          <w:szCs w:val="20"/>
          <w:color w:val="auto"/>
        </w:rPr>
      </w:pPr>
    </w:p>
    <w:p>
      <w:pPr>
        <w:ind w:left="760" w:right="20"/>
        <w:spacing w:after="0" w:line="239" w:lineRule="auto"/>
        <w:rPr>
          <w:sz w:val="20"/>
          <w:szCs w:val="20"/>
          <w:color w:val="auto"/>
        </w:rPr>
      </w:pPr>
      <w:r>
        <w:rPr>
          <w:rFonts w:ascii="Arial" w:cs="Arial" w:eastAsia="Arial" w:hAnsi="Arial"/>
          <w:sz w:val="17"/>
          <w:szCs w:val="17"/>
          <w:color w:val="auto"/>
        </w:rPr>
        <w:t>any such unvested Options shall Vest (a “Post Event Vested Option”) and the Participant shall remain entitled to exercise the Post Event Vested Option within the period of 30 days following it Vesting.</w:t>
      </w:r>
    </w:p>
    <w:p>
      <w:pPr>
        <w:spacing w:after="0" w:line="23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Where the Post Event Vested Option is not exercised within the period of 30 days following it Vesting it shall lapse forthwith.</w:t>
      </w:r>
    </w:p>
    <w:p>
      <w:pPr>
        <w:spacing w:after="0" w:line="23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Any exercise of the Option pursuant to clause 3.3 shall always be subject to compliance with Rule 8.1.</w:t>
      </w:r>
    </w:p>
    <w:p>
      <w:pPr>
        <w:spacing w:after="0" w:line="257" w:lineRule="exact"/>
        <w:rPr>
          <w:sz w:val="20"/>
          <w:szCs w:val="20"/>
          <w:color w:val="auto"/>
        </w:rPr>
      </w:pPr>
    </w:p>
    <w:p>
      <w:pPr>
        <w:ind w:left="740" w:right="80" w:hanging="732"/>
        <w:spacing w:after="0" w:line="239" w:lineRule="auto"/>
        <w:tabs>
          <w:tab w:leader="none" w:pos="72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On the exercise of this Regular Option the Company will use its reasonable endeavours to procure the Participant receives ADSs pursuant to this Regular Option provided the Company remains a party to an ADS facility and this otherwise complies with Rule 8.1</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w:t>
      </w:r>
    </w:p>
    <w:p>
      <w:pPr>
        <w:spacing w:after="0" w:line="199" w:lineRule="exact"/>
        <w:rPr>
          <w:sz w:val="20"/>
          <w:szCs w:val="20"/>
          <w:color w:val="auto"/>
        </w:rPr>
      </w:pPr>
    </w:p>
    <w:p>
      <w:pPr>
        <w:ind w:left="360" w:hanging="352"/>
        <w:spacing w:after="0"/>
        <w:tabs>
          <w:tab w:leader="none" w:pos="3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Regular Option shall lapse:</w:t>
      </w:r>
    </w:p>
    <w:p>
      <w:pPr>
        <w:spacing w:after="0" w:line="25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5.1 in accordance with the Rules as amended by this Deed; or</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5.2 to the extent it does not Vest under the Rules as amended by this Deed.</w:t>
      </w:r>
    </w:p>
    <w:p>
      <w:pPr>
        <w:spacing w:after="0" w:line="285" w:lineRule="exact"/>
        <w:rPr>
          <w:sz w:val="20"/>
          <w:szCs w:val="20"/>
          <w:color w:val="auto"/>
        </w:rPr>
      </w:pPr>
    </w:p>
    <w:p>
      <w:pPr>
        <w:ind w:left="740" w:hanging="732"/>
        <w:spacing w:after="0" w:line="284" w:lineRule="auto"/>
        <w:tabs>
          <w:tab w:leader="none" w:pos="37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To exercise the Regular Option the Participant must lodge with the Company Secretary of the Company (or such other person as the Company may from time to time notify to the employee in writing):</w:t>
      </w:r>
    </w:p>
    <w:p>
      <w:pPr>
        <w:spacing w:after="0" w:line="16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6.1 this Deed;</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6.2 a duly completed Notice of Exercise in the form appended to this Deed;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3" w:name="page304"/>
    <w:bookmarkEnd w:id="303"/>
    <w:p>
      <w:pPr>
        <w:spacing w:after="0" w:line="11" w:lineRule="exact"/>
        <w:rPr>
          <w:sz w:val="20"/>
          <w:szCs w:val="20"/>
          <w:color w:val="auto"/>
        </w:rPr>
      </w:pPr>
    </w:p>
    <w:p>
      <w:pPr>
        <w:ind w:left="1200" w:hanging="684"/>
        <w:spacing w:after="0" w:line="284" w:lineRule="auto"/>
        <w:tabs>
          <w:tab w:leader="none" w:pos="1180" w:val="left"/>
        </w:tabs>
        <w:rPr>
          <w:sz w:val="20"/>
          <w:szCs w:val="20"/>
          <w:color w:val="auto"/>
        </w:rPr>
      </w:pPr>
      <w:r>
        <w:rPr>
          <w:rFonts w:ascii="Arial" w:cs="Arial" w:eastAsia="Arial" w:hAnsi="Arial"/>
          <w:sz w:val="17"/>
          <w:szCs w:val="17"/>
          <w:color w:val="auto"/>
        </w:rPr>
        <w:t>6.3</w:t>
        <w:tab/>
        <w:t>a cheque made payable to the Company in respect of the Option Price unless other arrangements have entered into acceptable to the Committee including, if the Committee so permits, an undertaking to pay that amount;</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and the matters provided for in Rule 8 must be complied with.</w:t>
      </w:r>
    </w:p>
    <w:p>
      <w:pPr>
        <w:spacing w:after="0" w:line="199" w:lineRule="exact"/>
        <w:rPr>
          <w:sz w:val="20"/>
          <w:szCs w:val="20"/>
          <w:color w:val="auto"/>
        </w:rPr>
      </w:pPr>
    </w:p>
    <w:p>
      <w:pPr>
        <w:ind w:left="360" w:hanging="352"/>
        <w:spacing w:after="0"/>
        <w:tabs>
          <w:tab w:leader="none" w:pos="3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It shall be a condition of the grant of an Award that the Participant indemnifies the Company and any other Group Member to the extent</w:t>
      </w:r>
    </w:p>
    <w:p>
      <w:pPr>
        <w:spacing w:after="0" w:line="92" w:lineRule="exact"/>
        <w:rPr>
          <w:sz w:val="20"/>
          <w:szCs w:val="20"/>
          <w:color w:val="auto"/>
        </w:rPr>
      </w:pPr>
    </w:p>
    <w:p>
      <w:pPr>
        <w:ind w:left="740"/>
        <w:spacing w:after="0" w:line="239" w:lineRule="auto"/>
        <w:rPr>
          <w:sz w:val="20"/>
          <w:szCs w:val="20"/>
          <w:color w:val="auto"/>
        </w:rPr>
      </w:pPr>
      <w:r>
        <w:rPr>
          <w:rFonts w:ascii="Arial" w:cs="Arial" w:eastAsia="Arial" w:hAnsi="Arial"/>
          <w:sz w:val="17"/>
          <w:szCs w:val="17"/>
          <w:color w:val="auto"/>
        </w:rPr>
        <w:t>permitted by law against any Tax Liabilities [which shall include, where the Committee so requires, Employer Social Security Liability all in accordance with the Rules].</w:t>
      </w:r>
    </w:p>
    <w:p>
      <w:pPr>
        <w:spacing w:after="0" w:line="201" w:lineRule="exact"/>
        <w:rPr>
          <w:sz w:val="20"/>
          <w:szCs w:val="20"/>
          <w:color w:val="auto"/>
        </w:rPr>
      </w:pPr>
    </w:p>
    <w:p>
      <w:pPr>
        <w:ind w:left="380" w:hanging="372"/>
        <w:spacing w:after="0"/>
        <w:tabs>
          <w:tab w:leader="none" w:pos="3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Regular Option is exercisable only by the Participant (or his personal representatives) and may not be transferred, assigned or</w:t>
      </w:r>
    </w:p>
    <w:p>
      <w:pPr>
        <w:spacing w:after="0" w:line="92" w:lineRule="exact"/>
        <w:rPr>
          <w:sz w:val="20"/>
          <w:szCs w:val="20"/>
          <w:color w:val="auto"/>
        </w:rPr>
      </w:pPr>
    </w:p>
    <w:p>
      <w:pPr>
        <w:ind w:left="740"/>
        <w:spacing w:after="0" w:line="239" w:lineRule="auto"/>
        <w:rPr>
          <w:sz w:val="20"/>
          <w:szCs w:val="20"/>
          <w:color w:val="auto"/>
        </w:rPr>
      </w:pPr>
      <w:r>
        <w:rPr>
          <w:rFonts w:ascii="Arial" w:cs="Arial" w:eastAsia="Arial" w:hAnsi="Arial"/>
          <w:sz w:val="17"/>
          <w:szCs w:val="17"/>
          <w:color w:val="auto"/>
        </w:rPr>
        <w:t>charged and the Regular Option will lapse on the occasion of any assignment, charge, disposal or other dealing with the rights conveyed by it all in accordance with Rule 4.8.</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 A person who is not a party to this deed shall have no right under the Contracts (Rights of Third Parties) Act 1999 to enforce any term</w:t>
      </w:r>
    </w:p>
    <w:p>
      <w:pPr>
        <w:spacing w:after="0" w:line="9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of this deed. This clause does not affect any right or remedy of any person which exists or is available otherwise than pursuant to that Act.</w:t>
      </w:r>
    </w:p>
    <w:p>
      <w:pPr>
        <w:spacing w:after="0" w:line="200" w:lineRule="exact"/>
        <w:rPr>
          <w:sz w:val="20"/>
          <w:szCs w:val="20"/>
          <w:color w:val="auto"/>
        </w:rPr>
      </w:pPr>
    </w:p>
    <w:p>
      <w:pPr>
        <w:spacing w:after="0" w:line="230" w:lineRule="exact"/>
        <w:rPr>
          <w:sz w:val="20"/>
          <w:szCs w:val="20"/>
          <w:color w:val="auto"/>
        </w:rPr>
      </w:pPr>
    </w:p>
    <w:p>
      <w:pPr>
        <w:ind w:left="760" w:hanging="752"/>
        <w:spacing w:after="0" w:line="284" w:lineRule="auto"/>
        <w:tabs>
          <w:tab w:leader="none" w:pos="38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Shares which will be acquired when the Award is exercised are subject to the terms and restrictions set out in the Company's articles of association.</w:t>
      </w:r>
    </w:p>
    <w:p>
      <w:pPr>
        <w:spacing w:after="0" w:line="200" w:lineRule="exact"/>
        <w:rPr>
          <w:sz w:val="20"/>
          <w:szCs w:val="20"/>
          <w:color w:val="auto"/>
        </w:rPr>
      </w:pPr>
    </w:p>
    <w:p>
      <w:pPr>
        <w:spacing w:after="0" w:line="396"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color w:val="auto"/>
          <w:highlight w:val="black"/>
        </w:rPr>
        <w:t>APPENDIX</w:t>
      </w:r>
      <w:r>
        <w:rPr>
          <w:sz w:val="20"/>
          <w:szCs w:val="20"/>
          <w:color w:val="auto"/>
        </w:rPr>
        <w:tab/>
      </w:r>
      <w:r>
        <w:rPr>
          <w:rFonts w:ascii="Arial" w:cs="Arial" w:eastAsia="Arial" w:hAnsi="Arial"/>
          <w:sz w:val="17"/>
          <w:szCs w:val="17"/>
          <w:color w:val="auto"/>
        </w:rPr>
        <w:t>Form of Notice of Exercise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read the notes at the foot of his form carefully before completing it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To: The Secretary</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NuCana plc</w:t>
      </w:r>
    </w:p>
    <w:p>
      <w:pPr>
        <w:spacing w:after="0" w:line="29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 the undersigned</w:t>
      </w:r>
      <w:r>
        <w:rPr>
          <w:rFonts w:ascii="Arial" w:cs="Arial" w:eastAsia="Arial" w:hAnsi="Arial"/>
          <w:sz w:val="23"/>
          <w:szCs w:val="23"/>
          <w:color w:val="auto"/>
          <w:vertAlign w:val="superscript"/>
        </w:rPr>
        <w:t>1</w:t>
      </w:r>
      <w:r>
        <w:rPr>
          <w:rFonts w:ascii="Arial" w:cs="Arial" w:eastAsia="Arial" w:hAnsi="Arial"/>
          <w:sz w:val="17"/>
          <w:szCs w:val="17"/>
          <w:color w:val="auto"/>
        </w:rPr>
        <w:t>, having become entitled so to do, hereby exercise the Regular Option referred to in the attached Deed in respect of Shares comprised in the Regular Option upon the terms of the NUCANA PLC 2020 LONG-TERM INCENTIVE PLAN (“Scheme”) and agree to accept the Shares to be allotted and issued pursuant to this Notice of Exercise subject to and in accordance with the memorandum and</w:t>
      </w:r>
    </w:p>
    <w:p>
      <w:pPr>
        <w:spacing w:after="0" w:line="4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articles of association of the Company and hereby request you to place my name on the register of members in respect thereof. I enclose a remittance for £ [</w:t>
      </w:r>
      <w:r>
        <w:rPr>
          <w:rFonts w:ascii="Times New Roman" w:cs="Times New Roman" w:eastAsia="Times New Roman" w:hAnsi="Times New Roman"/>
          <w:sz w:val="18"/>
          <w:szCs w:val="18"/>
          <w:color w:val="0A0A0A"/>
        </w:rPr>
        <w:t>•</w:t>
      </w:r>
      <w:r>
        <w:rPr>
          <w:rFonts w:ascii="Arial" w:cs="Arial" w:eastAsia="Arial" w:hAnsi="Arial"/>
          <w:sz w:val="17"/>
          <w:szCs w:val="17"/>
          <w:color w:val="auto"/>
        </w:rPr>
        <w:t>] being the aggregate Option Price payable for the Shares in respect of which the Regular Option is now exercised,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Option Price (per Share) being £[</w:t>
      </w:r>
      <w:r>
        <w:rPr>
          <w:rFonts w:ascii="Times New Roman" w:cs="Times New Roman" w:eastAsia="Times New Roman" w:hAnsi="Times New Roman"/>
          <w:sz w:val="18"/>
          <w:szCs w:val="18"/>
          <w:color w:val="0A0A0A"/>
        </w:rPr>
        <w:t>•</w:t>
      </w:r>
      <w:r>
        <w:rPr>
          <w:rFonts w:ascii="Arial" w:cs="Arial" w:eastAsia="Arial" w:hAnsi="Arial"/>
          <w:sz w:val="17"/>
          <w:szCs w:val="17"/>
          <w:color w:val="auto"/>
        </w:rPr>
        <w: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 understand that income tax and NIC (referred to as a Tax Liabilities in the Rules of the Scheme) may need to be accounted for by the Company to HM Revenue and Customs on this exercise and in respect of which I have indemnified the Company. I further understand that the Company has an obligation to deduct, insofar as possible, the amount of any Tax Liabilities from payments that it makes to me and I authorise the Company to make such deductions from my salary or other payments due to me.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(please tick as appropriate</w:t>
      </w:r>
      <w:r>
        <w:rPr>
          <w:rFonts w:ascii="Arial" w:cs="Arial" w:eastAsia="Arial" w:hAnsi="Arial"/>
          <w:sz w:val="23"/>
          <w:szCs w:val="23"/>
          <w:color w:val="auto"/>
          <w:highlight w:val="black"/>
          <w:vertAlign w:val="superscript"/>
        </w:rPr>
        <w:t>2</w:t>
      </w:r>
      <w:r>
        <w:rPr>
          <w:rFonts w:ascii="Arial" w:cs="Arial" w:eastAsia="Arial" w:hAnsi="Arial"/>
          <w:sz w:val="17"/>
          <w:szCs w:val="17"/>
          <w:color w:val="auto"/>
          <w:highlight w:val="black"/>
        </w:rPr>
        <w:t>)</w:t>
      </w:r>
    </w:p>
    <w:p>
      <w:pPr>
        <w:spacing w:after="0" w:line="190" w:lineRule="exact"/>
        <w:rPr>
          <w:sz w:val="20"/>
          <w:szCs w:val="20"/>
          <w:color w:val="auto"/>
        </w:rPr>
      </w:pPr>
    </w:p>
    <w:p>
      <w:pPr>
        <w:ind w:left="760" w:hanging="3"/>
        <w:spacing w:after="0" w:line="247" w:lineRule="auto"/>
        <w:tabs>
          <w:tab w:leader="none" w:pos="953"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I wish to make a cash payment to the Company in respect of the outstanding Tax Liabilities (after deduction by the Company) arising from this exercise and enclose a second cheque made payable to the Company for £ [</w:t>
      </w:r>
      <w:r>
        <w:rPr>
          <w:rFonts w:ascii="Times New Roman" w:cs="Times New Roman" w:eastAsia="Times New Roman" w:hAnsi="Times New Roman"/>
          <w:sz w:val="18"/>
          <w:szCs w:val="18"/>
          <w:color w:val="0A0A0A"/>
        </w:rPr>
        <w: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34" w:lineRule="exact"/>
        <w:rPr>
          <w:sz w:val="20"/>
          <w:szCs w:val="20"/>
          <w:color w:val="auto"/>
        </w:rPr>
      </w:pPr>
    </w:p>
    <w:p>
      <w:pPr>
        <w:jc w:val="both"/>
        <w:ind w:left="760" w:hanging="3"/>
        <w:spacing w:after="0" w:line="258" w:lineRule="auto"/>
        <w:tabs>
          <w:tab w:leader="none" w:pos="94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In accordance with Rule 8.5, I authorise the Company to (a) sell or procure the sale of sufficient Vested Shares on or following exercise of the Option to ensure that any relevant Group Member receives the amount required to discharge the Tax Liability which arises on such exercise; or b) to withhold from the number of Shares deliverable on exercise of the Option such number of Shares as has a Fair Market Value on the date the Tax Liability is to be determined equal to the Tax Liability in satisfaction of my obligations in relation to that Tax Liability.</w:t>
      </w:r>
    </w:p>
    <w:p>
      <w:pPr>
        <w:spacing w:after="0" w:line="24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applicable, I hereby request you to despatch a balance certificate for the Regular Option to subscribe for any Shares included in the Regular Option referred to overleaf and not exercised on this occasion, by post at my risk to the address mentioned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4225" cy="8616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0">
                      <a:extLst>
                        <a:ext uri="{28A0092B-C50C-407E-A947-70E740481C1C}"/>
                      </a:extLst>
                    </a:blip>
                    <a:srcRect/>
                    <a:stretch>
                      <a:fillRect/>
                    </a:stretch>
                  </pic:blipFill>
                  <pic:spPr bwMode="auto">
                    <a:xfrm>
                      <a:off x="0" y="0"/>
                      <a:ext cx="7134225" cy="86169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Print name: ……………………………………..</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Address: ……………………………………..</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5000" w:space="72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This document has been executed and delivered as a Deed on the date written at the beginning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1234440</wp:posOffset>
            </wp:positionV>
            <wp:extent cx="7134225" cy="27641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1">
                      <a:extLst>
                        <a:ext uri="{28A0092B-C50C-407E-A947-70E740481C1C}"/>
                      </a:extLst>
                    </a:blip>
                    <a:srcRect/>
                    <a:stretch>
                      <a:fillRect/>
                    </a:stretch>
                  </pic:blipFill>
                  <pic:spPr bwMode="auto">
                    <a:xfrm>
                      <a:off x="0" y="0"/>
                      <a:ext cx="7134225" cy="276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260" w:type="dxa"/>
            <w:vAlign w:val="bottom"/>
          </w:tcPr>
          <w:p>
            <w:pPr>
              <w:spacing w:after="0"/>
              <w:rPr>
                <w:sz w:val="20"/>
                <w:szCs w:val="20"/>
                <w:color w:val="auto"/>
              </w:rPr>
            </w:pPr>
            <w:r>
              <w:rPr>
                <w:rFonts w:ascii="Arial" w:cs="Arial" w:eastAsia="Arial" w:hAnsi="Arial"/>
                <w:sz w:val="17"/>
                <w:szCs w:val="17"/>
                <w:color w:val="auto"/>
                <w:highlight w:val="black"/>
              </w:rPr>
              <w:t xml:space="preserve">EXECUTED </w:t>
            </w:r>
            <w:r>
              <w:rPr>
                <w:rFonts w:ascii="Arial" w:cs="Arial" w:eastAsia="Arial" w:hAnsi="Arial"/>
                <w:sz w:val="17"/>
                <w:szCs w:val="17"/>
                <w:color w:val="auto"/>
              </w:rPr>
              <w:t>as a</w:t>
            </w:r>
            <w:r>
              <w:rPr>
                <w:rFonts w:ascii="Arial" w:cs="Arial" w:eastAsia="Arial" w:hAnsi="Arial"/>
                <w:sz w:val="17"/>
                <w:szCs w:val="17"/>
                <w:color w:val="auto"/>
                <w:highlight w:val="black"/>
              </w:rPr>
              <w:t xml:space="preserve"> DEED </w:t>
            </w:r>
            <w:r>
              <w:rPr>
                <w:rFonts w:ascii="Arial" w:cs="Arial" w:eastAsia="Arial" w:hAnsi="Arial"/>
                <w:sz w:val="17"/>
                <w:szCs w:val="17"/>
                <w:color w:val="auto"/>
              </w:rPr>
              <w:t>by</w:t>
            </w:r>
            <w:r>
              <w:rPr>
                <w:rFonts w:ascii="Arial" w:cs="Arial" w:eastAsia="Arial" w:hAnsi="Arial"/>
                <w:sz w:val="17"/>
                <w:szCs w:val="17"/>
                <w:color w:val="auto"/>
                <w:highlight w:val="black"/>
              </w:rPr>
              <w:t xml:space="preserve"> NuCana plc</w:t>
            </w:r>
          </w:p>
        </w:tc>
        <w:tc>
          <w:tcPr>
            <w:tcW w:w="3240" w:type="dxa"/>
            <w:vAlign w:val="bottom"/>
          </w:tcPr>
          <w:p>
            <w:pPr>
              <w:spacing w:after="0"/>
              <w:rPr>
                <w:sz w:val="16"/>
                <w:szCs w:val="16"/>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7"/>
                <w:szCs w:val="17"/>
                <w:color w:val="auto"/>
              </w:rPr>
              <w:t>acting by [insert name of director] director and [insert name of</w:t>
            </w:r>
          </w:p>
        </w:tc>
        <w:tc>
          <w:tcPr>
            <w:tcW w:w="324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7"/>
                <w:szCs w:val="17"/>
                <w:color w:val="auto"/>
              </w:rPr>
              <w:t>director/company secretary] director/company secretary</w:t>
            </w:r>
          </w:p>
        </w:tc>
        <w:tc>
          <w:tcPr>
            <w:tcW w:w="3240" w:type="dxa"/>
            <w:vAlign w:val="bottom"/>
          </w:tcPr>
          <w:p>
            <w:pPr>
              <w:ind w:left="240"/>
              <w:spacing w:after="0"/>
              <w:rPr>
                <w:sz w:val="20"/>
                <w:szCs w:val="20"/>
                <w:color w:val="auto"/>
              </w:rPr>
            </w:pPr>
            <w:r>
              <w:rPr>
                <w:rFonts w:ascii="Arial" w:cs="Arial" w:eastAsia="Arial" w:hAnsi="Arial"/>
                <w:sz w:val="17"/>
                <w:szCs w:val="17"/>
                <w:color w:val="auto"/>
                <w:w w:val="86"/>
              </w:rPr>
              <w:t>…………………………………………………….</w:t>
            </w:r>
          </w:p>
        </w:tc>
      </w:tr>
      <w:tr>
        <w:trPr>
          <w:trHeight w:val="432"/>
        </w:trPr>
        <w:tc>
          <w:tcPr>
            <w:tcW w:w="5260" w:type="dxa"/>
            <w:vAlign w:val="bottom"/>
          </w:tcPr>
          <w:p>
            <w:pPr>
              <w:spacing w:after="0"/>
              <w:rPr>
                <w:sz w:val="24"/>
                <w:szCs w:val="24"/>
                <w:color w:val="auto"/>
              </w:rPr>
            </w:pPr>
          </w:p>
        </w:tc>
        <w:tc>
          <w:tcPr>
            <w:tcW w:w="3240" w:type="dxa"/>
            <w:vAlign w:val="bottom"/>
          </w:tcPr>
          <w:p>
            <w:pPr>
              <w:ind w:left="240"/>
              <w:spacing w:after="0"/>
              <w:rPr>
                <w:sz w:val="20"/>
                <w:szCs w:val="20"/>
                <w:color w:val="auto"/>
              </w:rPr>
            </w:pPr>
            <w:r>
              <w:rPr>
                <w:rFonts w:ascii="Arial" w:cs="Arial" w:eastAsia="Arial" w:hAnsi="Arial"/>
                <w:sz w:val="17"/>
                <w:szCs w:val="17"/>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 w:firstLine="8"/>
        <w:spacing w:after="0" w:line="199" w:lineRule="auto"/>
        <w:tabs>
          <w:tab w:leader="none" w:pos="97" w:val="left"/>
        </w:tabs>
        <w:numPr>
          <w:ilvl w:val="0"/>
          <w:numId w:val="3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Although the Option referred to overleaf is personal to the holder named overleaf it may be exercised by his personal representative(s); please see Rule 11.2. If there are more than one, each of the personal representatives must sign this form. A copy of the Grant of Probate/Confirmation must be provided with the completed Notice of Exercise.</w:t>
      </w:r>
    </w:p>
    <w:p>
      <w:pPr>
        <w:spacing w:after="0" w:line="97" w:lineRule="exact"/>
        <w:rPr>
          <w:sz w:val="20"/>
          <w:szCs w:val="20"/>
          <w:color w:val="auto"/>
        </w:rPr>
      </w:pPr>
    </w:p>
    <w:p>
      <w:pPr>
        <w:ind w:left="-8" w:firstLine="8"/>
        <w:spacing w:after="0" w:line="212" w:lineRule="auto"/>
        <w:tabs>
          <w:tab w:leader="none" w:pos="64" w:val="left"/>
        </w:tabs>
        <w:numPr>
          <w:ilvl w:val="0"/>
          <w:numId w:val="3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Please tick the appropriate box. If you fail to tick a box or if you tick the first box but your cash payment or next month’s salary are insufficient to cover the full liability, the Company will retain and sell sufficient shares to cover the liability or shortfall or will withhold the transferring of the shares to you until the full tax liabilities have been met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206375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MINUTE OF VARIATION</w:t>
      </w:r>
    </w:p>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between</w:t>
      </w:r>
    </w:p>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CUSTODIAN PROPERTY INCOME REIT PLC</w:t>
      </w:r>
    </w:p>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NUCANA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Property: 2nd Floor East Suite, Lochside House, 3 Lochside Way, Edinburgh, EH12 9DT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Brodies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-50165</wp:posOffset>
            </wp:positionV>
            <wp:extent cx="1294130" cy="12172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4">
                      <a:extLst>
                        <a:ext uri="{28A0092B-C50C-407E-A947-70E740481C1C}"/>
                      </a:extLst>
                    </a:blip>
                    <a:srcRect/>
                    <a:stretch>
                      <a:fillRect/>
                    </a:stretch>
                  </pic:blipFill>
                  <pic:spPr bwMode="auto">
                    <a:xfrm>
                      <a:off x="0" y="0"/>
                      <a:ext cx="1294130" cy="121729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8"/>
          <w:szCs w:val="18"/>
          <w:b w:val="1"/>
          <w:bCs w:val="1"/>
          <w:color w:val="auto"/>
        </w:rPr>
        <w:t>Capital Square</w:t>
      </w:r>
    </w:p>
    <w:p>
      <w:pPr>
        <w:jc w:val="center"/>
        <w:ind w:right="1120"/>
        <w:spacing w:after="0" w:line="234" w:lineRule="auto"/>
        <w:rPr>
          <w:sz w:val="20"/>
          <w:szCs w:val="20"/>
          <w:color w:val="auto"/>
        </w:rPr>
      </w:pPr>
      <w:r>
        <w:rPr>
          <w:rFonts w:ascii="Arial" w:cs="Arial" w:eastAsia="Arial" w:hAnsi="Arial"/>
          <w:sz w:val="18"/>
          <w:szCs w:val="18"/>
          <w:b w:val="1"/>
          <w:bCs w:val="1"/>
          <w:color w:val="auto"/>
        </w:rPr>
        <w:t>58 Morrison Street</w:t>
      </w:r>
    </w:p>
    <w:p>
      <w:pPr>
        <w:jc w:val="center"/>
        <w:ind w:right="1120"/>
        <w:spacing w:after="0" w:line="235" w:lineRule="auto"/>
        <w:rPr>
          <w:sz w:val="20"/>
          <w:szCs w:val="20"/>
          <w:color w:val="auto"/>
        </w:rPr>
      </w:pPr>
      <w:r>
        <w:rPr>
          <w:rFonts w:ascii="Arial" w:cs="Arial" w:eastAsia="Arial" w:hAnsi="Arial"/>
          <w:sz w:val="18"/>
          <w:szCs w:val="18"/>
          <w:b w:val="1"/>
          <w:bCs w:val="1"/>
          <w:color w:val="auto"/>
        </w:rPr>
        <w:t>Edinburgh EH3 8BP</w:t>
      </w:r>
    </w:p>
    <w:p>
      <w:pPr>
        <w:ind w:left="4020" w:hanging="226"/>
        <w:spacing w:after="0" w:line="235" w:lineRule="auto"/>
        <w:tabs>
          <w:tab w:leader="none" w:pos="402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0131 228 3777</w:t>
      </w:r>
    </w:p>
    <w:p>
      <w:pPr>
        <w:ind w:left="4120" w:right="4900" w:hanging="326"/>
        <w:spacing w:after="0" w:line="234" w:lineRule="auto"/>
        <w:tabs>
          <w:tab w:leader="none" w:pos="4005"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0131 228 3878 DX.ED10</w:t>
      </w:r>
    </w:p>
    <w:p>
      <w:pPr>
        <w:jc w:val="center"/>
        <w:ind w:right="1120"/>
        <w:spacing w:after="0" w:line="236" w:lineRule="auto"/>
        <w:rPr>
          <w:sz w:val="20"/>
          <w:szCs w:val="20"/>
          <w:color w:val="auto"/>
        </w:rPr>
      </w:pPr>
      <w:r>
        <w:rPr>
          <w:rFonts w:ascii="Arial" w:cs="Arial" w:eastAsia="Arial" w:hAnsi="Arial"/>
          <w:sz w:val="18"/>
          <w:szCs w:val="18"/>
          <w:b w:val="1"/>
          <w:bCs w:val="1"/>
          <w:color w:val="auto"/>
        </w:rPr>
        <w:t>Ref: RWW/GRMI/MDO/CUS0011.00093</w:t>
      </w:r>
    </w:p>
    <w:p>
      <w:pPr>
        <w:jc w:val="center"/>
        <w:ind w:right="1120"/>
        <w:spacing w:after="0" w:line="235" w:lineRule="auto"/>
        <w:rPr>
          <w:sz w:val="20"/>
          <w:szCs w:val="20"/>
          <w:color w:val="auto"/>
        </w:rPr>
      </w:pPr>
      <w:r>
        <w:rPr>
          <w:rFonts w:ascii="Arial" w:cs="Arial" w:eastAsia="Arial" w:hAnsi="Arial"/>
          <w:sz w:val="18"/>
          <w:szCs w:val="18"/>
          <w:b w:val="1"/>
          <w:bCs w:val="1"/>
          <w:color w:val="auto"/>
        </w:rPr>
        <w:t>FAS 0468/1468</w:t>
      </w:r>
    </w:p>
    <w:p>
      <w:pPr>
        <w:jc w:val="center"/>
        <w:ind w:right="1120"/>
        <w:spacing w:after="0"/>
        <w:rPr>
          <w:sz w:val="20"/>
          <w:szCs w:val="20"/>
          <w:color w:val="auto"/>
        </w:rPr>
      </w:pP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859155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093" w:right="3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47"/>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400" w:type="dxa"/>
            <w:vAlign w:val="bottom"/>
          </w:tcPr>
          <w:p>
            <w:pPr>
              <w:spacing w:after="0"/>
              <w:rPr>
                <w:sz w:val="21"/>
                <w:szCs w:val="21"/>
                <w:color w:val="auto"/>
              </w:rPr>
            </w:pPr>
          </w:p>
        </w:tc>
      </w:tr>
      <w:tr>
        <w:trPr>
          <w:trHeight w:val="445"/>
        </w:trPr>
        <w:tc>
          <w:tcPr>
            <w:tcW w:w="520" w:type="dxa"/>
            <w:vAlign w:val="bottom"/>
          </w:tcPr>
          <w:p>
            <w:pPr>
              <w:spacing w:after="0"/>
              <w:rPr>
                <w:sz w:val="20"/>
                <w:szCs w:val="20"/>
                <w:color w:val="auto"/>
              </w:rPr>
            </w:pPr>
            <w:r>
              <w:rPr>
                <w:rFonts w:ascii="Arial" w:cs="Arial" w:eastAsia="Arial" w:hAnsi="Arial"/>
                <w:sz w:val="18"/>
                <w:szCs w:val="18"/>
                <w:b w:val="1"/>
                <w:bCs w:val="1"/>
                <w:color w:val="auto"/>
              </w:rPr>
              <w:t>1</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Definitions and interpretation</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3</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2</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Variation of Lease</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4</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3</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Costs and VAT</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4</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4</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Contract (Third Party Rights) (Scotland) Act 2017</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5</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5</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Ratification of Lease</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5</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Applicable law and jurisdiction</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5</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7</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Counterparts</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5</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320" w:type="dxa"/>
            <w:vAlign w:val="bottom"/>
          </w:tcPr>
          <w:p>
            <w:pPr>
              <w:spacing w:after="0"/>
              <w:rPr>
                <w:sz w:val="20"/>
                <w:szCs w:val="20"/>
                <w:color w:val="auto"/>
              </w:rPr>
            </w:pPr>
            <w:r>
              <w:rPr>
                <w:rFonts w:ascii="Arial" w:cs="Arial" w:eastAsia="Arial" w:hAnsi="Arial"/>
                <w:sz w:val="18"/>
                <w:szCs w:val="18"/>
                <w:b w:val="1"/>
                <w:bCs w:val="1"/>
                <w:color w:val="auto"/>
              </w:rPr>
              <w:t>Consent to registration</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5</w:t>
            </w:r>
          </w:p>
        </w:tc>
      </w:tr>
      <w:tr>
        <w:trPr>
          <w:trHeight w:val="405"/>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Schedule</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7</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w w:val="99"/>
              </w:rPr>
              <w:t>Part 1</w:t>
            </w:r>
          </w:p>
        </w:tc>
        <w:tc>
          <w:tcPr>
            <w:tcW w:w="7320" w:type="dxa"/>
            <w:vAlign w:val="bottom"/>
          </w:tcPr>
          <w:p>
            <w:pPr>
              <w:spacing w:after="0"/>
              <w:rPr>
                <w:sz w:val="24"/>
                <w:szCs w:val="24"/>
                <w:color w:val="auto"/>
              </w:rPr>
            </w:pP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7</w:t>
            </w:r>
          </w:p>
        </w:tc>
      </w:tr>
      <w:tr>
        <w:trPr>
          <w:trHeight w:val="405"/>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Lease Variations</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7</w:t>
            </w:r>
          </w:p>
        </w:tc>
      </w:tr>
      <w:tr>
        <w:trPr>
          <w:trHeight w:val="405"/>
        </w:trPr>
        <w:tc>
          <w:tcPr>
            <w:tcW w:w="520" w:type="dxa"/>
            <w:vAlign w:val="bottom"/>
          </w:tcPr>
          <w:p>
            <w:pPr>
              <w:spacing w:after="0"/>
              <w:rPr>
                <w:sz w:val="20"/>
                <w:szCs w:val="20"/>
                <w:color w:val="auto"/>
              </w:rPr>
            </w:pPr>
            <w:r>
              <w:rPr>
                <w:rFonts w:ascii="Arial" w:cs="Arial" w:eastAsia="Arial" w:hAnsi="Arial"/>
                <w:sz w:val="18"/>
                <w:szCs w:val="18"/>
                <w:b w:val="1"/>
                <w:bCs w:val="1"/>
                <w:color w:val="auto"/>
                <w:w w:val="99"/>
              </w:rPr>
              <w:t>Part 2</w:t>
            </w:r>
          </w:p>
        </w:tc>
        <w:tc>
          <w:tcPr>
            <w:tcW w:w="7320" w:type="dxa"/>
            <w:vAlign w:val="bottom"/>
          </w:tcPr>
          <w:p>
            <w:pPr>
              <w:spacing w:after="0"/>
              <w:rPr>
                <w:sz w:val="24"/>
                <w:szCs w:val="24"/>
                <w:color w:val="auto"/>
              </w:rPr>
            </w:pP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10</w:t>
            </w:r>
          </w:p>
        </w:tc>
      </w:tr>
      <w:tr>
        <w:trPr>
          <w:trHeight w:val="405"/>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Rent Review</w:t>
            </w:r>
          </w:p>
        </w:tc>
        <w:tc>
          <w:tcPr>
            <w:tcW w:w="3400" w:type="dxa"/>
            <w:vAlign w:val="bottom"/>
          </w:tcPr>
          <w:p>
            <w:pPr>
              <w:ind w:left="3140"/>
              <w:spacing w:after="0"/>
              <w:rPr>
                <w:sz w:val="20"/>
                <w:szCs w:val="20"/>
                <w:color w:val="auto"/>
              </w:rPr>
            </w:pPr>
            <w:r>
              <w:rPr>
                <w:rFonts w:ascii="Arial" w:cs="Arial" w:eastAsia="Arial" w:hAnsi="Arial"/>
                <w:sz w:val="18"/>
                <w:szCs w:val="18"/>
                <w:b w:val="1"/>
                <w:bCs w:val="1"/>
                <w:color w:val="auto"/>
              </w:rPr>
              <w:t>10</w:t>
            </w:r>
          </w:p>
        </w:tc>
      </w:tr>
      <w:tr>
        <w:trPr>
          <w:trHeight w:val="1278"/>
        </w:trPr>
        <w:tc>
          <w:tcPr>
            <w:tcW w:w="5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color w:val="auto"/>
        </w:rPr>
        <w:t>For the purposes of the Legal Writings (Counterparts and Delivery) (Scotland) Act 2015, this Minute of Variation is delivered 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MINUTE OF VARIATION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CUSTODIAN PROPERTY INCOME REIT PLC</w:t>
      </w:r>
      <w:r>
        <w:rPr>
          <w:rFonts w:ascii="Arial" w:cs="Arial" w:eastAsia="Arial" w:hAnsi="Arial"/>
          <w:sz w:val="18"/>
          <w:szCs w:val="18"/>
          <w:color w:val="auto"/>
        </w:rPr>
        <w:t>, incorporated under the Companies Acts (registered number 08863271) and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1 New Walk Place, Leicester, LE1 6RU and includes, where the context so requires, its successors as landlord under the Lease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NUCANA PLC</w:t>
      </w:r>
      <w:r>
        <w:rPr>
          <w:rFonts w:ascii="Arial" w:cs="Arial" w:eastAsia="Arial" w:hAnsi="Arial"/>
          <w:sz w:val="18"/>
          <w:szCs w:val="18"/>
          <w:color w:val="auto"/>
        </w:rPr>
        <w:t>, incorporated under the Companies Acts (registered number 03308778) and having its registered office at 77 78 Cannon</w:t>
      </w:r>
      <w:r>
        <w:rPr>
          <w:rFonts w:ascii="Arial" w:cs="Arial" w:eastAsia="Arial" w:hAnsi="Arial"/>
          <w:sz w:val="18"/>
          <w:szCs w:val="18"/>
          <w:b w:val="1"/>
          <w:bCs w:val="1"/>
          <w:color w:val="auto"/>
        </w:rPr>
        <w:t xml:space="preserve"> </w:t>
      </w:r>
      <w:r>
        <w:rPr>
          <w:rFonts w:ascii="Arial" w:cs="Arial" w:eastAsia="Arial" w:hAnsi="Arial"/>
          <w:sz w:val="18"/>
          <w:szCs w:val="18"/>
          <w:color w:val="auto"/>
        </w:rPr>
        <w:t>Street, London, EC4N 6AF and includes, where the context so requires, its permitted assignees as tenant under the Lease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760" w:hanging="752"/>
        <w:spacing w:after="0"/>
        <w:tabs>
          <w:tab w:leader="none" w:pos="7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Landlord is the landlord under the Lease;</w:t>
      </w:r>
    </w:p>
    <w:p>
      <w:pPr>
        <w:spacing w:after="0" w:line="211" w:lineRule="exact"/>
        <w:rPr>
          <w:rFonts w:ascii="Arial" w:cs="Arial" w:eastAsia="Arial" w:hAnsi="Arial"/>
          <w:sz w:val="18"/>
          <w:szCs w:val="18"/>
          <w:color w:val="auto"/>
        </w:rPr>
      </w:pPr>
    </w:p>
    <w:p>
      <w:pPr>
        <w:ind w:left="760" w:hanging="752"/>
        <w:spacing w:after="0"/>
        <w:tabs>
          <w:tab w:leader="none" w:pos="7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Tenant is the tenant under the Lease; and</w:t>
      </w:r>
    </w:p>
    <w:p>
      <w:pPr>
        <w:spacing w:after="0" w:line="211" w:lineRule="exact"/>
        <w:rPr>
          <w:rFonts w:ascii="Arial" w:cs="Arial" w:eastAsia="Arial" w:hAnsi="Arial"/>
          <w:sz w:val="18"/>
          <w:szCs w:val="18"/>
          <w:color w:val="auto"/>
        </w:rPr>
      </w:pPr>
    </w:p>
    <w:p>
      <w:pPr>
        <w:ind w:right="4640" w:firstLine="8"/>
        <w:spacing w:after="0" w:line="485" w:lineRule="auto"/>
        <w:tabs>
          <w:tab w:leader="none" w:pos="74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Landlord and the Tenant have agreed to vary the terms of the Lease. IT IS AGREED as follows:</w:t>
      </w:r>
    </w:p>
    <w:p>
      <w:pPr>
        <w:ind w:left="760" w:hanging="752"/>
        <w:spacing w:after="0"/>
        <w:tabs>
          <w:tab w:leader="none" w:pos="7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Definitions</w:t>
      </w:r>
    </w:p>
    <w:p>
      <w:pPr>
        <w:spacing w:after="0" w:line="212"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Words which are defined in Clause 1.1 of the Lease have the same meanings in this Minute of Variation, unless other meanings are assigned to them below. In this Minute of Variation: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conclusion of Missives (notwithstanding the date or dates of this Minute of Variation);</w:t>
      </w:r>
    </w:p>
    <w:p>
      <w:pPr>
        <w:spacing w:after="0" w:line="212"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b w:val="1"/>
          <w:bCs w:val="1"/>
          <w:color w:val="auto"/>
        </w:rPr>
        <w:t xml:space="preserve">"Lease" </w:t>
      </w:r>
      <w:r>
        <w:rPr>
          <w:rFonts w:ascii="Arial" w:cs="Arial" w:eastAsia="Arial" w:hAnsi="Arial"/>
          <w:sz w:val="18"/>
          <w:szCs w:val="18"/>
          <w:color w:val="auto"/>
        </w:rPr>
        <w:t>means the lease of the Property between Drum Income Plus Limited and Nucana Plc dated 7 and 21 September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the Books of Council and Session on 28 September, all dates in the year 2017 as subsequently amended and/or varied by the minute of variation between Custodian Reit plc and Nucana plc dated 24 and 25 August and 26 September and registered in the Books of Council and Session on 28 October, all dates in the year 2022, in respect of the Property;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the Landlord and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color w:val="auto"/>
        </w:rPr>
        <w:t>2</w:t>
      </w:r>
    </w:p>
    <w:p>
      <w:pPr>
        <w:spacing w:after="0" w:line="333"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 ALL and WHOLE the premises known as 2nd Floor East Suite, Lochside House, 3 Lochside Way, Edinburgh,</w:t>
      </w:r>
      <w:r>
        <w:rPr>
          <w:rFonts w:ascii="Arial" w:cs="Arial" w:eastAsia="Arial" w:hAnsi="Arial"/>
          <w:sz w:val="18"/>
          <w:szCs w:val="18"/>
          <w:b w:val="1"/>
          <w:bCs w:val="1"/>
          <w:color w:val="auto"/>
        </w:rPr>
        <w:t xml:space="preserve"> </w:t>
      </w:r>
      <w:r>
        <w:rPr>
          <w:rFonts w:ascii="Arial" w:cs="Arial" w:eastAsia="Arial" w:hAnsi="Arial"/>
          <w:sz w:val="18"/>
          <w:szCs w:val="18"/>
          <w:color w:val="auto"/>
        </w:rPr>
        <w:t>EH12 9DT, being the Premises as more particularly described in the Lease; and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"Schedule" </w:t>
      </w:r>
      <w:r>
        <w:rPr>
          <w:rFonts w:ascii="Arial" w:cs="Arial" w:eastAsia="Arial" w:hAnsi="Arial"/>
          <w:sz w:val="18"/>
          <w:szCs w:val="18"/>
          <w:color w:val="auto"/>
        </w:rPr>
        <w:t>means the schedule annexed to this Minute of Variation.</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Interpretation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interpretation provisions of Clause 1.2 of the Lease apply, where appliable, to this Minute of Variation.</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Headings</w:t>
      </w:r>
    </w:p>
    <w:p>
      <w:pPr>
        <w:spacing w:after="0" w:line="212"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The headings in this Minute of Variation are included for convenience only and are to be ignored in construing this Minute of Variation.</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Schedule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Schedule forms part of this Minute of Variation.</w:t>
      </w:r>
    </w:p>
    <w:p>
      <w:pPr>
        <w:spacing w:after="0" w:line="212" w:lineRule="exact"/>
        <w:rPr>
          <w:sz w:val="20"/>
          <w:szCs w:val="20"/>
          <w:color w:val="auto"/>
        </w:rPr>
      </w:pPr>
    </w:p>
    <w:p>
      <w:pPr>
        <w:ind w:left="760" w:hanging="752"/>
        <w:spacing w:after="0"/>
        <w:tabs>
          <w:tab w:leader="none" w:pos="7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Lease</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Landlord and the Tenant agree that the Lease is varied with effect from the Effective Date in accordance with the provisions contained within Part 1 of the Schedule.</w:t>
      </w:r>
    </w:p>
    <w:p>
      <w:pPr>
        <w:spacing w:after="0" w:line="154" w:lineRule="exact"/>
        <w:rPr>
          <w:sz w:val="20"/>
          <w:szCs w:val="20"/>
          <w:color w:val="auto"/>
        </w:rPr>
      </w:pPr>
    </w:p>
    <w:p>
      <w:pPr>
        <w:ind w:left="760" w:hanging="752"/>
        <w:spacing w:after="0"/>
        <w:tabs>
          <w:tab w:leader="none" w:pos="7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VAT</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Each of the Parties will bear their own costs and expenses in connection with the Minute of Variation.</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Tenant will be responsible for any Land and Buildings Transaction Tax chargeable on varying the Lease.</w:t>
      </w:r>
    </w:p>
    <w:p>
      <w:pPr>
        <w:spacing w:after="0" w:line="212" w:lineRule="exact"/>
        <w:rPr>
          <w:sz w:val="20"/>
          <w:szCs w:val="20"/>
          <w:color w:val="auto"/>
        </w:rPr>
      </w:pPr>
    </w:p>
    <w:p>
      <w:pPr>
        <w:jc w:val="both"/>
        <w:ind w:left="760" w:right="20" w:hanging="748"/>
        <w:spacing w:after="0" w:line="271"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Tenant will pay the cost of registering this Minute of Variation in the Books of Council and Session and obtaining two extracts (one for the Landlord and one for the Tenant) within five Business Days after demand.</w:t>
      </w:r>
    </w:p>
    <w:p>
      <w:pPr>
        <w:spacing w:after="0" w:line="154"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sums payable, or consideration given, or the value of any supplies made by any party to this Minute of Variation are exclusive of VAT (unless otherwise stated), which, if properly chargeable, will be payable by the recipient of the supply for VAT purposes in addition, upon production of a valid VAT invoice addressed to the recipient of the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t>3</w:t>
      </w:r>
    </w:p>
    <w:p>
      <w:pPr>
        <w:spacing w:after="0" w:line="333" w:lineRule="exact"/>
        <w:rPr>
          <w:sz w:val="20"/>
          <w:szCs w:val="20"/>
          <w:color w:val="auto"/>
        </w:rPr>
      </w:pPr>
    </w:p>
    <w:p>
      <w:pPr>
        <w:ind w:left="760" w:hanging="752"/>
        <w:spacing w:after="0"/>
        <w:tabs>
          <w:tab w:leader="none" w:pos="7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Contract (Third Party Rights) (Scotland) Act 2017</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This Minute of Variation does not create any rights in favour of third parties under the Contract (Third Party Rights) (Scotland) Act</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2017 to enforce or otherwise invoke any provision of this Minute of Variation.</w:t>
      </w:r>
    </w:p>
    <w:p>
      <w:pPr>
        <w:spacing w:after="0" w:line="194" w:lineRule="exact"/>
        <w:rPr>
          <w:sz w:val="20"/>
          <w:szCs w:val="20"/>
          <w:color w:val="auto"/>
        </w:rPr>
      </w:pPr>
    </w:p>
    <w:p>
      <w:pPr>
        <w:ind w:left="760" w:hanging="752"/>
        <w:spacing w:after="0"/>
        <w:tabs>
          <w:tab w:leader="none" w:pos="7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Lease</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Except to the extent expressly provided in this Minute of Variation, the Parties confirm that the whole provisions of the Lease will remain in full force and effect.</w:t>
      </w:r>
    </w:p>
    <w:p>
      <w:pPr>
        <w:spacing w:after="0" w:line="154" w:lineRule="exact"/>
        <w:rPr>
          <w:sz w:val="20"/>
          <w:szCs w:val="20"/>
          <w:color w:val="auto"/>
        </w:rPr>
      </w:pPr>
    </w:p>
    <w:p>
      <w:pPr>
        <w:ind w:left="760" w:hanging="752"/>
        <w:spacing w:after="0"/>
        <w:tabs>
          <w:tab w:leader="none" w:pos="7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jurisdiction</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Minute of Variation is governed by and is to be construed in accordance with the law of Scotland and in so far as not already subject to it, the Parties irrevocably submit to the exclusive jurisdiction of the Scottish courts.</w:t>
      </w:r>
    </w:p>
    <w:p>
      <w:pPr>
        <w:spacing w:after="0" w:line="154" w:lineRule="exact"/>
        <w:rPr>
          <w:sz w:val="20"/>
          <w:szCs w:val="20"/>
          <w:color w:val="auto"/>
        </w:rPr>
      </w:pPr>
    </w:p>
    <w:p>
      <w:pPr>
        <w:ind w:left="760" w:hanging="752"/>
        <w:spacing w:after="0"/>
        <w:tabs>
          <w:tab w:leader="none" w:pos="7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This Minute of Variation may be executed in any number of counterparts and by each of the Parties on separate counterparts.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If executed in counterparts:</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this Minute of Variation shall not take effect until all of the counterparts have been delivered;</w:t>
      </w:r>
    </w:p>
    <w:p>
      <w:pPr>
        <w:spacing w:after="0" w:line="212" w:lineRule="exact"/>
        <w:rPr>
          <w:sz w:val="20"/>
          <w:szCs w:val="20"/>
          <w:color w:val="auto"/>
        </w:rPr>
      </w:pPr>
    </w:p>
    <w:p>
      <w:pPr>
        <w:jc w:val="right"/>
        <w:ind w:left="760" w:right="20"/>
        <w:spacing w:after="0" w:line="281" w:lineRule="auto"/>
        <w:rPr>
          <w:sz w:val="20"/>
          <w:szCs w:val="20"/>
          <w:color w:val="auto"/>
        </w:rPr>
      </w:pPr>
      <w:r>
        <w:rPr>
          <w:rFonts w:ascii="Arial" w:cs="Arial" w:eastAsia="Arial" w:hAnsi="Arial"/>
          <w:sz w:val="18"/>
          <w:szCs w:val="18"/>
          <w:color w:val="auto"/>
        </w:rPr>
        <w:t xml:space="preserve">7.2.2    each counterpart will be held as undelivered for the purposes of the Legal Writings (Counterparts and Delivery) (Scotland) Act 2015 until the Parties agree a date (the </w:t>
      </w:r>
      <w:r>
        <w:rPr>
          <w:rFonts w:ascii="Arial" w:cs="Arial" w:eastAsia="Arial" w:hAnsi="Arial"/>
          <w:sz w:val="18"/>
          <w:szCs w:val="18"/>
          <w:b w:val="1"/>
          <w:bCs w:val="1"/>
          <w:color w:val="auto"/>
        </w:rPr>
        <w:t>"Agreed Date"</w:t>
      </w:r>
      <w:r>
        <w:rPr>
          <w:rFonts w:ascii="Arial" w:cs="Arial" w:eastAsia="Arial" w:hAnsi="Arial"/>
          <w:sz w:val="18"/>
          <w:szCs w:val="18"/>
          <w:color w:val="auto"/>
        </w:rPr>
        <w:t>) on which the counterparts are to be treated as delivered; and</w:t>
      </w:r>
    </w:p>
    <w:p>
      <w:pPr>
        <w:spacing w:after="0" w:line="13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the Agreed Date will be inserted on page 1 of this Minute of Variation.</w:t>
      </w:r>
    </w:p>
    <w:p>
      <w:pPr>
        <w:spacing w:after="0" w:line="212" w:lineRule="exact"/>
        <w:rPr>
          <w:sz w:val="20"/>
          <w:szCs w:val="20"/>
          <w:color w:val="auto"/>
        </w:rPr>
      </w:pPr>
    </w:p>
    <w:p>
      <w:pPr>
        <w:ind w:left="760" w:hanging="752"/>
        <w:spacing w:after="0"/>
        <w:tabs>
          <w:tab w:leader="none" w:pos="7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Consent to registration</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Parties consent to the registration of this Minute of Variation for preservation and execution.</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This document is executed as follows and if executed in counterpart is delivered for the purposes of the Legal Writings (Counterparts and Delivery) (Scotland) Act 2015 on the date set out on page 1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1" w:name="page312"/>
    <w:bookmarkEnd w:id="311"/>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Landlord, CUSTODIAN PROPERTY INCOME REIT PLC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director/secretary/authorised signatory/witness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full name of above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3497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Tenant, NUCANA PLC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Leah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97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LEAH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97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full name of above (print)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30/10/25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97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3497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13" w:lineRule="exact"/>
        <w:rPr>
          <w:sz w:val="20"/>
          <w:szCs w:val="20"/>
          <w:color w:val="auto"/>
        </w:rPr>
      </w:pPr>
    </w:p>
    <w:p>
      <w:pPr>
        <w:ind w:right="2400"/>
        <w:spacing w:after="0" w:line="287" w:lineRule="auto"/>
        <w:rPr>
          <w:sz w:val="20"/>
          <w:szCs w:val="20"/>
          <w:color w:val="auto"/>
        </w:rPr>
      </w:pPr>
      <w:r>
        <w:rPr>
          <w:rFonts w:ascii="Arial" w:cs="Arial" w:eastAsia="Arial" w:hAnsi="Arial"/>
          <w:sz w:val="18"/>
          <w:szCs w:val="18"/>
          <w:color w:val="auto"/>
        </w:rPr>
        <w:t>21 SYDNEY CRESCENT, PH3 1BB 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3497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signature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886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director/secretary/authorised signatory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full name of above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886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of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886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-3175</wp:posOffset>
            </wp:positionV>
            <wp:extent cx="7132320" cy="1708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08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place of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M Adamson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886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signatory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MOIRA ADAMSON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886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full name of above (print)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30/10/2025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886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signing</w:t>
      </w:r>
    </w:p>
    <w:p>
      <w:pPr>
        <w:spacing w:after="0" w:line="99" w:lineRule="exact"/>
        <w:rPr>
          <w:sz w:val="20"/>
          <w:szCs w:val="20"/>
          <w:color w:val="auto"/>
        </w:rPr>
      </w:pPr>
    </w:p>
    <w:p>
      <w:pPr>
        <w:ind w:right="1900"/>
        <w:spacing w:after="0" w:line="287" w:lineRule="auto"/>
        <w:rPr>
          <w:sz w:val="20"/>
          <w:szCs w:val="20"/>
          <w:color w:val="auto"/>
        </w:rPr>
      </w:pPr>
      <w:r>
        <w:rPr>
          <w:rFonts w:ascii="Arial" w:cs="Arial" w:eastAsia="Arial" w:hAnsi="Arial"/>
          <w:sz w:val="18"/>
          <w:szCs w:val="18"/>
          <w:color w:val="auto"/>
        </w:rPr>
        <w:t>3 LOCHSIDE WAY, EDINBURGH EH12 9DT place of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773430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-173355</wp:posOffset>
            </wp:positionV>
            <wp:extent cx="34886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ectPr>
          <w:pgSz w:w="11900" w:h="16838" w:orient="portrait"/>
          <w:cols w:equalWidth="0" w:num="2">
            <w:col w:w="5280" w:space="460"/>
            <w:col w:w="5500"/>
          </w:cols>
          <w:pgMar w:left="320" w:top="769"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color w:val="auto"/>
        </w:rPr>
        <w:t>5</w:t>
      </w:r>
    </w:p>
    <w:p>
      <w:pPr>
        <w:spacing w:after="0" w:line="293"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This is the Schedule referred to in the foregoing Minute of Variation between CUSTODIAN PROPERTY INCOME REIT PLC and NUCANA PLC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Variations</w:t>
      </w:r>
    </w:p>
    <w:p>
      <w:pPr>
        <w:spacing w:after="0" w:line="212" w:lineRule="exact"/>
        <w:rPr>
          <w:sz w:val="20"/>
          <w:szCs w:val="20"/>
          <w:color w:val="auto"/>
        </w:rPr>
      </w:pPr>
    </w:p>
    <w:p>
      <w:pPr>
        <w:ind w:left="760" w:hanging="752"/>
        <w:spacing w:after="0"/>
        <w:tabs>
          <w:tab w:leader="none" w:pos="7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This Schedule uses the following definitions:</w:t>
      </w:r>
    </w:p>
    <w:p>
      <w:pPr>
        <w:spacing w:after="0" w:line="212"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b w:val="1"/>
          <w:bCs w:val="1"/>
          <w:color w:val="auto"/>
        </w:rPr>
        <w:t xml:space="preserve">"Break Dates" </w:t>
      </w:r>
      <w:r>
        <w:rPr>
          <w:rFonts w:ascii="Arial" w:cs="Arial" w:eastAsia="Arial" w:hAnsi="Arial"/>
          <w:sz w:val="18"/>
          <w:szCs w:val="18"/>
          <w:color w:val="auto"/>
        </w:rPr>
        <w:t>means each of 15 August 2030, 15 August 2032 and 15 August 2035 and “</w:t>
      </w:r>
      <w:r>
        <w:rPr>
          <w:rFonts w:ascii="Arial" w:cs="Arial" w:eastAsia="Arial" w:hAnsi="Arial"/>
          <w:sz w:val="18"/>
          <w:szCs w:val="18"/>
          <w:b w:val="1"/>
          <w:bCs w:val="1"/>
          <w:color w:val="auto"/>
        </w:rPr>
        <w:t>Break Date</w:t>
      </w:r>
      <w:r>
        <w:rPr>
          <w:rFonts w:ascii="Arial" w:cs="Arial" w:eastAsia="Arial" w:hAnsi="Arial"/>
          <w:sz w:val="18"/>
          <w:szCs w:val="18"/>
          <w:color w:val="auto"/>
        </w:rPr>
        <w:t>” means the relevant 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them;</w:t>
      </w:r>
    </w:p>
    <w:p>
      <w:pPr>
        <w:spacing w:after="0" w:line="154" w:lineRule="exact"/>
        <w:rPr>
          <w:sz w:val="20"/>
          <w:szCs w:val="20"/>
          <w:color w:val="auto"/>
        </w:rPr>
      </w:pPr>
    </w:p>
    <w:p>
      <w:pPr>
        <w:ind w:left="760" w:right="1720"/>
        <w:spacing w:after="0" w:line="485" w:lineRule="auto"/>
        <w:rPr>
          <w:sz w:val="20"/>
          <w:szCs w:val="20"/>
          <w:color w:val="auto"/>
        </w:rPr>
      </w:pPr>
      <w:r>
        <w:rPr>
          <w:rFonts w:ascii="Arial" w:cs="Arial" w:eastAsia="Arial" w:hAnsi="Arial"/>
          <w:sz w:val="18"/>
          <w:szCs w:val="18"/>
          <w:b w:val="1"/>
          <w:bCs w:val="1"/>
          <w:color w:val="auto"/>
        </w:rPr>
        <w:t xml:space="preserve">"Extended Period" </w:t>
      </w:r>
      <w:r>
        <w:rPr>
          <w:rFonts w:ascii="Arial" w:cs="Arial" w:eastAsia="Arial" w:hAnsi="Arial"/>
          <w:sz w:val="18"/>
          <w:szCs w:val="18"/>
          <w:color w:val="auto"/>
        </w:rPr>
        <w:t>means the period from (and including) 15 August 2027 to (and including) 14 August 2037;</w:t>
      </w:r>
      <w:r>
        <w:rPr>
          <w:rFonts w:ascii="Arial" w:cs="Arial" w:eastAsia="Arial" w:hAnsi="Arial"/>
          <w:sz w:val="18"/>
          <w:szCs w:val="18"/>
          <w:b w:val="1"/>
          <w:bCs w:val="1"/>
          <w:color w:val="auto"/>
        </w:rPr>
        <w:t xml:space="preserve"> "New Rent Commencement Date" </w:t>
      </w:r>
      <w:r>
        <w:rPr>
          <w:rFonts w:ascii="Arial" w:cs="Arial" w:eastAsia="Arial" w:hAnsi="Arial"/>
          <w:sz w:val="18"/>
          <w:szCs w:val="18"/>
          <w:color w:val="auto"/>
        </w:rPr>
        <w:t>means 15 August 2027;</w:t>
      </w:r>
    </w:p>
    <w:p>
      <w:pPr>
        <w:ind w:left="760" w:right="2960"/>
        <w:spacing w:after="0" w:line="485" w:lineRule="auto"/>
        <w:rPr>
          <w:sz w:val="20"/>
          <w:szCs w:val="20"/>
          <w:color w:val="auto"/>
        </w:rPr>
      </w:pPr>
      <w:r>
        <w:rPr>
          <w:rFonts w:ascii="Arial" w:cs="Arial" w:eastAsia="Arial" w:hAnsi="Arial"/>
          <w:sz w:val="18"/>
          <w:szCs w:val="18"/>
          <w:b w:val="1"/>
          <w:bCs w:val="1"/>
          <w:color w:val="auto"/>
        </w:rPr>
        <w:t xml:space="preserve">"Rent" </w:t>
      </w:r>
      <w:r>
        <w:rPr>
          <w:rFonts w:ascii="Arial" w:cs="Arial" w:eastAsia="Arial" w:hAnsi="Arial"/>
          <w:sz w:val="18"/>
          <w:szCs w:val="18"/>
          <w:color w:val="auto"/>
        </w:rPr>
        <w:t>means the rent payable in terms of the Lease as varied by this Minute of Variation; and</w:t>
      </w:r>
      <w:r>
        <w:rPr>
          <w:rFonts w:ascii="Arial" w:cs="Arial" w:eastAsia="Arial" w:hAnsi="Arial"/>
          <w:sz w:val="18"/>
          <w:szCs w:val="18"/>
          <w:b w:val="1"/>
          <w:bCs w:val="1"/>
          <w:color w:val="auto"/>
        </w:rPr>
        <w:t xml:space="preserve"> "Rent Re-Commencement Date" </w:t>
      </w:r>
      <w:r>
        <w:rPr>
          <w:rFonts w:ascii="Arial" w:cs="Arial" w:eastAsia="Arial" w:hAnsi="Arial"/>
          <w:sz w:val="18"/>
          <w:szCs w:val="18"/>
          <w:color w:val="auto"/>
        </w:rPr>
        <w:t>means 24 April 2026;</w:t>
      </w:r>
    </w:p>
    <w:p>
      <w:pPr>
        <w:ind w:left="760"/>
        <w:spacing w:after="0"/>
        <w:rPr>
          <w:sz w:val="20"/>
          <w:szCs w:val="20"/>
          <w:color w:val="auto"/>
        </w:rPr>
      </w:pPr>
      <w:r>
        <w:rPr>
          <w:rFonts w:ascii="Arial" w:cs="Arial" w:eastAsia="Arial" w:hAnsi="Arial"/>
          <w:sz w:val="18"/>
          <w:szCs w:val="18"/>
          <w:b w:val="1"/>
          <w:bCs w:val="1"/>
          <w:color w:val="auto"/>
        </w:rPr>
        <w:t xml:space="preserve">"Rent Review Date" </w:t>
      </w:r>
      <w:r>
        <w:rPr>
          <w:rFonts w:ascii="Arial" w:cs="Arial" w:eastAsia="Arial" w:hAnsi="Arial"/>
          <w:sz w:val="18"/>
          <w:szCs w:val="18"/>
          <w:color w:val="auto"/>
        </w:rPr>
        <w:t>means 15 August 2032 and each fifth anniversary of this date thereafter for the Duration of this Lease.</w:t>
      </w:r>
    </w:p>
    <w:p>
      <w:pPr>
        <w:spacing w:after="0" w:line="212" w:lineRule="exact"/>
        <w:rPr>
          <w:sz w:val="20"/>
          <w:szCs w:val="20"/>
          <w:color w:val="auto"/>
        </w:rPr>
      </w:pPr>
    </w:p>
    <w:p>
      <w:pPr>
        <w:ind w:left="760" w:hanging="752"/>
        <w:spacing w:after="0"/>
        <w:tabs>
          <w:tab w:leader="none" w:pos="7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Lease term</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Lease will be extended (and the Parties’ obligations under it will continue) for the Extended Period on the terms and conditions contained in the Lease and this Minute of Variation.</w:t>
      </w:r>
    </w:p>
    <w:p>
      <w:pPr>
        <w:spacing w:after="0" w:line="154" w:lineRule="exact"/>
        <w:rPr>
          <w:sz w:val="20"/>
          <w:szCs w:val="20"/>
          <w:color w:val="auto"/>
        </w:rPr>
      </w:pPr>
    </w:p>
    <w:p>
      <w:pPr>
        <w:ind w:left="760" w:hanging="752"/>
        <w:spacing w:after="0"/>
        <w:tabs>
          <w:tab w:leader="none" w:pos="7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212"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 the period from 24 October 2025 until the date immediately prior to the Rent Re-Commencement Date the rent of ONE POUND (£1) STERLING (only if asked) per annum (exclusive of all, if any, VAT chargeable thereon);</w:t>
      </w:r>
    </w:p>
    <w:p>
      <w:pPr>
        <w:spacing w:after="0" w:line="154"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for the period from the Rent Re-Commencement Date until the date immediately prior to the New Rent Commencement Date, the rent of EIGHTY-ONE THOUSAND NINE HUNDRED POUNDS (£81,900) STERLING per annum (exclusive of all, if any, VAT chargeable thereon);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color w:val="auto"/>
        </w:rPr>
        <w:t>6</w:t>
      </w:r>
    </w:p>
    <w:p>
      <w:pPr>
        <w:spacing w:after="0" w:line="333"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for the period from the New Rent Commencement Date the rent of NINETY FOUR THOUSAND THREE HUNDRED AND TWENTY FIVE POUNDS (£94,325) STERLING per annum (exclusive of all, if any, VAT chargeable thereon), subject to review in accordance with the rent review provisions of the Lease.</w:t>
      </w:r>
    </w:p>
    <w:p>
      <w:pPr>
        <w:spacing w:after="0" w:line="169" w:lineRule="exact"/>
        <w:rPr>
          <w:sz w:val="20"/>
          <w:szCs w:val="20"/>
          <w:color w:val="auto"/>
        </w:rPr>
      </w:pPr>
    </w:p>
    <w:p>
      <w:pPr>
        <w:ind w:left="760" w:hanging="752"/>
        <w:spacing w:after="0"/>
        <w:tabs>
          <w:tab w:leader="none" w:pos="7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Rent review</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Landlord and the Tenant agree that the rent will be reviewed in accordance with the provisions contained within Part 2 of the Schedule.</w:t>
      </w:r>
    </w:p>
    <w:p>
      <w:pPr>
        <w:spacing w:after="0" w:line="154" w:lineRule="exact"/>
        <w:rPr>
          <w:sz w:val="20"/>
          <w:szCs w:val="20"/>
          <w:color w:val="auto"/>
        </w:rPr>
      </w:pPr>
    </w:p>
    <w:p>
      <w:pPr>
        <w:ind w:left="760" w:hanging="752"/>
        <w:spacing w:after="0"/>
        <w:tabs>
          <w:tab w:leader="none" w:pos="7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Rent free period</w:t>
      </w:r>
    </w:p>
    <w:p>
      <w:pPr>
        <w:spacing w:after="0" w:line="212"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If the Tenant does not exercise their option to terminate the Lease as at the Break Date falling on 15 August 2032, then for the period from and including 15 August 2032 to and including 14 November 2032 the rent of ONE POUND (£1) STERLING (only if asked) per annum (exclusive of all, if any, VAT chargeable thereon); and</w:t>
      </w:r>
    </w:p>
    <w:p>
      <w:pPr>
        <w:spacing w:after="0" w:line="169"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If the Tenant does not exercise their option to terminate the Lease as at the Break Date falling on 15 August 2035, then for the period from and including 15 August 2035 to and including 14 November 2035, the rent of ONE POUND (£1) STERLING (only if asked) per annum (exclusive of all, if any, VAT chargeable thereon).</w:t>
      </w:r>
    </w:p>
    <w:p>
      <w:pPr>
        <w:spacing w:after="0" w:line="169" w:lineRule="exact"/>
        <w:rPr>
          <w:sz w:val="20"/>
          <w:szCs w:val="20"/>
          <w:color w:val="auto"/>
        </w:rPr>
      </w:pPr>
    </w:p>
    <w:p>
      <w:pPr>
        <w:ind w:left="760" w:hanging="752"/>
        <w:spacing w:after="0"/>
        <w:tabs>
          <w:tab w:leader="none" w:pos="7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New break options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Tenant may terminate the Lease on any of the Break Dates by giving the Landlord formal notice to that effect of not less than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12 months following which the Lease will end on the relevant Break Date but only if:</w:t>
      </w:r>
    </w:p>
    <w:p>
      <w:pPr>
        <w:spacing w:after="0" w:line="19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on the relevant Break Date the Rent due on or before that Break Date and any VAT payable on it has been paid in full;</w:t>
      </w:r>
    </w:p>
    <w:p>
      <w:pPr>
        <w:spacing w:after="0" w:line="212" w:lineRule="exact"/>
        <w:rPr>
          <w:sz w:val="20"/>
          <w:szCs w:val="20"/>
          <w:color w:val="auto"/>
        </w:rPr>
      </w:pPr>
    </w:p>
    <w:p>
      <w:pPr>
        <w:jc w:val="both"/>
        <w:ind w:left="1500" w:hanging="748"/>
        <w:spacing w:after="0" w:line="253" w:lineRule="auto"/>
        <w:tabs>
          <w:tab w:leader="none" w:pos="14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on the relevant Break Date the service charge and insurance payments due on or before that Break Date and any VAT payable on them have been paid in full provided the Landlord has invoiced the Tenant for said funds at least 14 working days prior to the Break Date;</w:t>
      </w:r>
    </w:p>
    <w:p>
      <w:pPr>
        <w:spacing w:after="0" w:line="169" w:lineRule="exact"/>
        <w:rPr>
          <w:sz w:val="20"/>
          <w:szCs w:val="20"/>
          <w:color w:val="auto"/>
        </w:rPr>
      </w:pPr>
    </w:p>
    <w:p>
      <w:pPr>
        <w:jc w:val="both"/>
        <w:ind w:left="1500" w:hanging="748"/>
        <w:spacing w:after="0" w:line="253" w:lineRule="auto"/>
        <w:tabs>
          <w:tab w:leader="none" w:pos="14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on the relevant Break Date there has been material compliance with the Tenant's obligations under the Lease provided the Landlord has notified the Tenant of any obligations under the Lease which they are not materially compliant with at least 6 months prior to the Break Date; and</w:t>
      </w:r>
    </w:p>
    <w:p>
      <w:pPr>
        <w:spacing w:after="0" w:line="169" w:lineRule="exact"/>
        <w:rPr>
          <w:sz w:val="20"/>
          <w:szCs w:val="20"/>
          <w:color w:val="auto"/>
        </w:rPr>
      </w:pPr>
    </w:p>
    <w:p>
      <w:pPr>
        <w:jc w:val="both"/>
        <w:ind w:left="1500" w:right="20" w:hanging="748"/>
        <w:spacing w:after="0" w:line="271" w:lineRule="auto"/>
        <w:tabs>
          <w:tab w:leader="none" w:pos="14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8"/>
          <w:szCs w:val="18"/>
          <w:color w:val="auto"/>
        </w:rPr>
        <w:t>on the relevant Break Date the whole of the Property is given back to the Landlord free of the Tenant's occupation and the occupation of any other occupier and without any continuing subleases.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t>7</w:t>
      </w:r>
    </w:p>
    <w:p>
      <w:pPr>
        <w:spacing w:after="0" w:line="33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If the Lease ends under this paragraph 6, this will not affect the rights of any party for any prior breach of an obligation in the Lease.</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Landlord must refund any Rent paid in advance by the Tenant relating to the period falling after the date of termination within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 Business Days after that date.</w:t>
      </w:r>
    </w:p>
    <w:p>
      <w:pPr>
        <w:spacing w:after="0" w:line="1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Time is of the essence for the purposes of this paragraph 6.</w:t>
      </w:r>
    </w:p>
    <w:p>
      <w:pPr>
        <w:spacing w:after="0" w:line="212" w:lineRule="exact"/>
        <w:rPr>
          <w:sz w:val="20"/>
          <w:szCs w:val="20"/>
          <w:color w:val="auto"/>
        </w:rPr>
      </w:pPr>
    </w:p>
    <w:p>
      <w:pPr>
        <w:ind w:left="760" w:hanging="752"/>
        <w:spacing w:after="0"/>
        <w:tabs>
          <w:tab w:leader="none" w:pos="7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Car Parking Spaces</w:t>
      </w:r>
    </w:p>
    <w:p>
      <w:pPr>
        <w:spacing w:after="0" w:line="212"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All references to "15 car parking spaces" in Part 1A of the Schedule to the Lease are deleted and are replaced with the wording "12 car parking spaces".</w:t>
      </w:r>
    </w:p>
    <w:p>
      <w:pPr>
        <w:spacing w:after="0" w:line="154"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Car Park Plan forming Part 9C of the Schedule to the Lease is deleted and the Car Park Plan annexed and executed as relative to this Minute of Variation shall be substituted therefor. All references in the Lease to the Car Park Plan shall be deemed to be references to the Car Park Plan annexed and executed as relative to this Minute of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color w:val="auto"/>
        </w:rPr>
        <w:t>8</w:t>
      </w:r>
    </w:p>
    <w:p>
      <w:pPr>
        <w:spacing w:after="0" w:line="29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PART 2</w:t>
      </w: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Rent Review</w:t>
      </w:r>
    </w:p>
    <w:p>
      <w:pPr>
        <w:spacing w:after="0" w:line="212" w:lineRule="exact"/>
        <w:rPr>
          <w:sz w:val="20"/>
          <w:szCs w:val="20"/>
          <w:color w:val="auto"/>
        </w:rPr>
      </w:pPr>
    </w:p>
    <w:p>
      <w:pPr>
        <w:ind w:left="760" w:hanging="752"/>
        <w:spacing w:after="0"/>
        <w:tabs>
          <w:tab w:leader="none" w:pos="760" w:val="left"/>
        </w:tabs>
        <w:numPr>
          <w:ilvl w:val="0"/>
          <w:numId w:val="340"/>
        </w:numPr>
        <w:rPr>
          <w:rFonts w:ascii="Arial" w:cs="Arial" w:eastAsia="Arial" w:hAnsi="Arial"/>
          <w:sz w:val="18"/>
          <w:szCs w:val="18"/>
          <w:b w:val="1"/>
          <w:bCs w:val="1"/>
          <w:color w:val="2D2D2D"/>
        </w:rPr>
      </w:pPr>
      <w:r>
        <w:rPr>
          <w:rFonts w:ascii="Arial" w:cs="Arial" w:eastAsia="Arial" w:hAnsi="Arial"/>
          <w:sz w:val="18"/>
          <w:szCs w:val="18"/>
          <w:b w:val="1"/>
          <w:bCs w:val="1"/>
          <w:color w:val="auto"/>
        </w:rPr>
        <w:t>Defined terms</w:t>
      </w:r>
    </w:p>
    <w:p>
      <w:pPr>
        <w:spacing w:after="0" w:line="211" w:lineRule="exact"/>
        <w:rPr>
          <w:rFonts w:ascii="Arial" w:cs="Arial" w:eastAsia="Arial" w:hAnsi="Arial"/>
          <w:sz w:val="18"/>
          <w:szCs w:val="18"/>
          <w:b w:val="1"/>
          <w:bCs w:val="1"/>
          <w:color w:val="2D2D2D"/>
        </w:rPr>
      </w:pPr>
    </w:p>
    <w:p>
      <w:pPr>
        <w:ind w:left="760"/>
        <w:spacing w:after="0"/>
        <w:rPr>
          <w:rFonts w:ascii="Arial" w:cs="Arial" w:eastAsia="Arial" w:hAnsi="Arial"/>
          <w:sz w:val="18"/>
          <w:szCs w:val="18"/>
          <w:b w:val="1"/>
          <w:bCs w:val="1"/>
          <w:color w:val="2D2D2D"/>
        </w:rPr>
      </w:pPr>
      <w:r>
        <w:rPr>
          <w:rFonts w:ascii="Arial" w:cs="Arial" w:eastAsia="Arial" w:hAnsi="Arial"/>
          <w:sz w:val="18"/>
          <w:szCs w:val="18"/>
          <w:color w:val="auto"/>
        </w:rPr>
        <w:t>This Part of the Schedule uses the following definitions: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Assumptions</w:t>
      </w:r>
      <w:r>
        <w:rPr>
          <w:rFonts w:ascii="Arial" w:cs="Arial" w:eastAsia="Arial" w:hAnsi="Arial"/>
          <w:sz w:val="18"/>
          <w:szCs w:val="18"/>
          <w:color w:val="auto"/>
        </w:rPr>
        <w:t>" means that:</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if the Building or any part of it has been damaged or destroyed, it has been reinstated before the Rent Review Date;</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the Premises are fit for immediate occupation and use by the willing tenant;</w:t>
      </w:r>
    </w:p>
    <w:p>
      <w:pPr>
        <w:spacing w:after="0" w:line="212" w:lineRule="exact"/>
        <w:rPr>
          <w:sz w:val="20"/>
          <w:szCs w:val="20"/>
          <w:color w:val="auto"/>
        </w:rPr>
      </w:pPr>
    </w:p>
    <w:p>
      <w:pPr>
        <w:jc w:val="both"/>
        <w:ind w:left="1500" w:hanging="748"/>
        <w:spacing w:after="0" w:line="271" w:lineRule="auto"/>
        <w:tabs>
          <w:tab w:leader="none" w:pos="14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Premises may lawfully be let to and used for the Permitted Use by any person throughout the term of the Hypothetical Lease;</w:t>
      </w:r>
    </w:p>
    <w:p>
      <w:pPr>
        <w:spacing w:after="0" w:line="154" w:lineRule="exact"/>
        <w:rPr>
          <w:sz w:val="20"/>
          <w:szCs w:val="20"/>
          <w:color w:val="auto"/>
        </w:rPr>
      </w:pPr>
    </w:p>
    <w:p>
      <w:pPr>
        <w:jc w:val="both"/>
        <w:ind w:left="1500" w:hanging="748"/>
        <w:spacing w:after="0" w:line="253" w:lineRule="auto"/>
        <w:tabs>
          <w:tab w:leader="none" w:pos="14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the Tenant has complied with the Tenant's obligations in this Lease and (except to the extent that there has been a material and persistent breach by the Landlord) the Landlord has complied with the Landlord's obligations in this Lease; and</w:t>
      </w:r>
    </w:p>
    <w:p>
      <w:pPr>
        <w:spacing w:after="0" w:line="169"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the willing tenant has received the benefit of either:</w:t>
      </w:r>
    </w:p>
    <w:p>
      <w:pPr>
        <w:spacing w:after="0" w:line="212" w:lineRule="exact"/>
        <w:rPr>
          <w:sz w:val="20"/>
          <w:szCs w:val="20"/>
          <w:color w:val="auto"/>
        </w:rPr>
      </w:pPr>
    </w:p>
    <w:p>
      <w:pPr>
        <w:jc w:val="both"/>
        <w:ind w:left="2260" w:hanging="748"/>
        <w:spacing w:after="0" w:line="253" w:lineRule="auto"/>
        <w:tabs>
          <w:tab w:leader="none" w:pos="2240" w:val="left"/>
        </w:tabs>
        <w:rPr>
          <w:sz w:val="20"/>
          <w:szCs w:val="20"/>
          <w:color w:val="auto"/>
        </w:rPr>
      </w:pPr>
      <w:r>
        <w:rPr>
          <w:rFonts w:ascii="Arial" w:cs="Arial" w:eastAsia="Arial" w:hAnsi="Arial"/>
          <w:sz w:val="18"/>
          <w:szCs w:val="18"/>
          <w:color w:val="auto"/>
        </w:rPr>
        <w:t>1.1.5.1</w:t>
        <w:tab/>
        <w:t>a rent-free period of such length as is required by the willing tenant to reflect the time required in order to carry out its fitting-out works at the Premises, that rent-free period having expired immediately prior to the commencement of the Hypothetical Lease; or</w:t>
      </w:r>
    </w:p>
    <w:p>
      <w:pPr>
        <w:spacing w:after="0" w:line="169"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7"/>
          <w:szCs w:val="17"/>
          <w:color w:val="auto"/>
        </w:rPr>
        <w:t>a rent concession or any other inducement of equal value to that rent-free period.</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Disregards</w:t>
      </w:r>
      <w:r>
        <w:rPr>
          <w:rFonts w:ascii="Arial" w:cs="Arial" w:eastAsia="Arial" w:hAnsi="Arial"/>
          <w:sz w:val="18"/>
          <w:szCs w:val="18"/>
          <w:color w:val="auto"/>
        </w:rPr>
        <w:t>" means the following:</w:t>
      </w:r>
    </w:p>
    <w:p>
      <w:pPr>
        <w:spacing w:after="0" w:line="212" w:lineRule="exact"/>
        <w:rPr>
          <w:sz w:val="20"/>
          <w:szCs w:val="20"/>
          <w:color w:val="auto"/>
        </w:rPr>
      </w:pPr>
    </w:p>
    <w:p>
      <w:pPr>
        <w:ind w:left="1500" w:hanging="748"/>
        <w:spacing w:after="0" w:line="271" w:lineRule="auto"/>
        <w:tabs>
          <w:tab w:leader="none" w:pos="14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any effect on rent of the Tenant (and the Tenant's predecessors in title and lawful occupiers) having been in occupation of the Premises;</w:t>
      </w:r>
    </w:p>
    <w:p>
      <w:pPr>
        <w:spacing w:after="0" w:line="154" w:lineRule="exact"/>
        <w:rPr>
          <w:sz w:val="20"/>
          <w:szCs w:val="20"/>
          <w:color w:val="auto"/>
        </w:rPr>
      </w:pPr>
    </w:p>
    <w:p>
      <w:pPr>
        <w:ind w:left="1500" w:hanging="748"/>
        <w:spacing w:after="0" w:line="271" w:lineRule="auto"/>
        <w:tabs>
          <w:tab w:leader="none" w:pos="14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any goodwill accruing to the Premises because of the Tenant's business (and that of the Tenant's predecessors in title and lawful occupiers);</w:t>
      </w:r>
    </w:p>
    <w:p>
      <w:pPr>
        <w:spacing w:after="0" w:line="154" w:lineRule="exact"/>
        <w:rPr>
          <w:sz w:val="20"/>
          <w:szCs w:val="20"/>
          <w:color w:val="auto"/>
        </w:rPr>
      </w:pPr>
    </w:p>
    <w:p>
      <w:pPr>
        <w:ind w:left="1500" w:hanging="748"/>
        <w:spacing w:after="0" w:line="271" w:lineRule="auto"/>
        <w:tabs>
          <w:tab w:leader="none" w:pos="14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any special bid that the Tenant or any other party with a special interest in the Premises might make by reason of its occupation of any other part of the Building or any adjoining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t>9</w:t>
      </w:r>
    </w:p>
    <w:p>
      <w:pPr>
        <w:spacing w:after="0" w:line="333" w:lineRule="exact"/>
        <w:rPr>
          <w:sz w:val="20"/>
          <w:szCs w:val="20"/>
          <w:color w:val="auto"/>
        </w:rPr>
      </w:pPr>
    </w:p>
    <w:p>
      <w:pPr>
        <w:jc w:val="both"/>
        <w:ind w:left="1500" w:hanging="748"/>
        <w:spacing w:after="0" w:line="271" w:lineRule="auto"/>
        <w:tabs>
          <w:tab w:leader="none" w:pos="14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any increase in rent attributable to any improvement, including any tenant's initial fitting-out works, whether or not within the Premises:</w:t>
      </w:r>
    </w:p>
    <w:p>
      <w:pPr>
        <w:spacing w:after="0" w:line="154" w:lineRule="exact"/>
        <w:rPr>
          <w:sz w:val="20"/>
          <w:szCs w:val="20"/>
          <w:color w:val="auto"/>
        </w:rPr>
      </w:pPr>
    </w:p>
    <w:p>
      <w:pPr>
        <w:jc w:val="both"/>
        <w:ind w:left="2260" w:right="20" w:hanging="748"/>
        <w:spacing w:after="0" w:line="271" w:lineRule="auto"/>
        <w:tabs>
          <w:tab w:leader="none" w:pos="2240" w:val="left"/>
        </w:tabs>
        <w:rPr>
          <w:sz w:val="20"/>
          <w:szCs w:val="20"/>
          <w:color w:val="auto"/>
        </w:rPr>
      </w:pPr>
      <w:r>
        <w:rPr>
          <w:rFonts w:ascii="Arial" w:cs="Arial" w:eastAsia="Arial" w:hAnsi="Arial"/>
          <w:sz w:val="18"/>
          <w:szCs w:val="18"/>
          <w:color w:val="auto"/>
        </w:rPr>
        <w:t>1.2.4.1</w:t>
        <w:tab/>
        <w:t>carried out by and at the cost of the Tenant or the Tenant's predecessors in title or lawful occupiers before or during the Term;</w:t>
      </w:r>
    </w:p>
    <w:p>
      <w:pPr>
        <w:spacing w:after="0" w:line="154"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8"/>
          <w:szCs w:val="18"/>
          <w:color w:val="auto"/>
        </w:rPr>
        <w:t>1.2.4.2</w:t>
        <w:tab/>
        <w:t>carried out with the written consent, where required, of the Landlord or the Landlord's predecessors in title; and</w:t>
      </w:r>
    </w:p>
    <w:p>
      <w:pPr>
        <w:spacing w:after="0" w:line="212" w:lineRule="exact"/>
        <w:rPr>
          <w:sz w:val="20"/>
          <w:szCs w:val="20"/>
          <w:color w:val="auto"/>
        </w:rPr>
      </w:pPr>
    </w:p>
    <w:p>
      <w:pPr>
        <w:jc w:val="both"/>
        <w:ind w:left="2260" w:hanging="748"/>
        <w:spacing w:after="0" w:line="253" w:lineRule="auto"/>
        <w:tabs>
          <w:tab w:leader="none" w:pos="2240" w:val="left"/>
        </w:tabs>
        <w:rPr>
          <w:sz w:val="20"/>
          <w:szCs w:val="20"/>
          <w:color w:val="auto"/>
        </w:rPr>
      </w:pPr>
      <w:r>
        <w:rPr>
          <w:rFonts w:ascii="Arial" w:cs="Arial" w:eastAsia="Arial" w:hAnsi="Arial"/>
          <w:sz w:val="18"/>
          <w:szCs w:val="18"/>
          <w:color w:val="auto"/>
        </w:rPr>
        <w:t>1.2.4.3</w:t>
        <w:tab/>
        <w:t>not carried out pursuant to an obligation to the Landlord or the Landlord's predecessors in title (but any obligations relating to the method or timing of works in this Lease or any other document giving consent will not be treated as an obligation for these purposes);</w:t>
      </w:r>
    </w:p>
    <w:p>
      <w:pPr>
        <w:spacing w:after="0" w:line="169" w:lineRule="exact"/>
        <w:rPr>
          <w:sz w:val="20"/>
          <w:szCs w:val="20"/>
          <w:color w:val="auto"/>
        </w:rPr>
      </w:pPr>
    </w:p>
    <w:p>
      <w:pPr>
        <w:ind w:left="1500" w:hanging="748"/>
        <w:spacing w:after="0" w:line="271" w:lineRule="auto"/>
        <w:tabs>
          <w:tab w:leader="none" w:pos="14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any reduction in rent attributable to works that have been carried out by the Tenant (or the Tenant's predecessors in title or lawful occupiers); and</w:t>
      </w:r>
    </w:p>
    <w:p>
      <w:pPr>
        <w:spacing w:after="0" w:line="15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any reduction in rent attributable to any temporary works, operations or other activities on any adjoining premises.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 xml:space="preserve">"Hypothetical Lease" </w:t>
      </w:r>
      <w:r>
        <w:rPr>
          <w:rFonts w:ascii="Arial" w:cs="Arial" w:eastAsia="Arial" w:hAnsi="Arial"/>
          <w:sz w:val="17"/>
          <w:szCs w:val="17"/>
          <w:color w:val="auto"/>
        </w:rPr>
        <w:t>means a lease:</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of the whole of the Premises;</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on the same terms as this Lease (including this Part of the Schedule) except for:</w:t>
      </w:r>
    </w:p>
    <w:p>
      <w:pPr>
        <w:spacing w:after="0" w:line="212"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7"/>
          <w:szCs w:val="17"/>
          <w:color w:val="auto"/>
        </w:rPr>
        <w:t>the amount of Rent payable immediately before the Rent Review Date;</w:t>
      </w:r>
    </w:p>
    <w:p>
      <w:pPr>
        <w:spacing w:after="0" w:line="212" w:lineRule="exact"/>
        <w:rPr>
          <w:sz w:val="20"/>
          <w:szCs w:val="20"/>
          <w:color w:val="auto"/>
        </w:rPr>
      </w:pPr>
    </w:p>
    <w:p>
      <w:pPr>
        <w:ind w:left="2260" w:hanging="748"/>
        <w:spacing w:after="0" w:line="271" w:lineRule="auto"/>
        <w:tabs>
          <w:tab w:leader="none" w:pos="2240" w:val="left"/>
        </w:tabs>
        <w:rPr>
          <w:sz w:val="20"/>
          <w:szCs w:val="20"/>
          <w:color w:val="auto"/>
        </w:rPr>
      </w:pPr>
      <w:r>
        <w:rPr>
          <w:rFonts w:ascii="Arial" w:cs="Arial" w:eastAsia="Arial" w:hAnsi="Arial"/>
          <w:sz w:val="18"/>
          <w:szCs w:val="18"/>
          <w:color w:val="auto"/>
        </w:rPr>
        <w:t>1.3.2.2</w:t>
        <w:tab/>
        <w:t>any rent free period, rent concession or any other inducement received by the Tenant in relation to the grant of this Lease; and</w:t>
      </w:r>
    </w:p>
    <w:p>
      <w:pPr>
        <w:spacing w:after="0" w:line="154"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7"/>
          <w:szCs w:val="17"/>
          <w:color w:val="auto"/>
        </w:rPr>
        <w:t>any break clause in this Lease, other than any right to terminate in Part 1 of the Schedule;</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by a willing landlord to a willing tenant;</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with vacant possession;</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without any premium payable by or to the willing tenant;</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for a term of five years starting on the Rent Review Date;</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with a rent commencement date on the Rent Review Date;</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with rent review dates every five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t>10</w:t>
      </w:r>
    </w:p>
    <w:p>
      <w:pPr>
        <w:spacing w:after="0" w:line="33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with a right for the tenant to bring the Hypothetical Lease to an end on any Break Date.</w:t>
      </w:r>
    </w:p>
    <w:p>
      <w:pPr>
        <w:spacing w:after="0" w:line="212" w:lineRule="exact"/>
        <w:rPr>
          <w:sz w:val="20"/>
          <w:szCs w:val="20"/>
          <w:color w:val="auto"/>
        </w:rPr>
      </w:pPr>
    </w:p>
    <w:p>
      <w:pPr>
        <w:ind w:left="760" w:hanging="748"/>
        <w:spacing w:after="0" w:line="271" w:lineRule="auto"/>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Market Rent</w:t>
      </w:r>
      <w:r>
        <w:rPr>
          <w:rFonts w:ascii="Arial" w:cs="Arial" w:eastAsia="Arial" w:hAnsi="Arial"/>
          <w:sz w:val="18"/>
          <w:szCs w:val="18"/>
          <w:color w:val="auto"/>
        </w:rPr>
        <w:t>" means the yearly rent at which the Premises might reasonably be expected to be let on the open market on the Rent Review Date, on the terms of the Hypothetical Lease and applying the Assumptions and the Disregards.</w:t>
      </w:r>
    </w:p>
    <w:p>
      <w:pPr>
        <w:spacing w:after="0" w:line="154" w:lineRule="exact"/>
        <w:rPr>
          <w:sz w:val="20"/>
          <w:szCs w:val="20"/>
          <w:color w:val="auto"/>
        </w:rPr>
      </w:pPr>
    </w:p>
    <w:p>
      <w:pPr>
        <w:ind w:left="760" w:hanging="752"/>
        <w:spacing w:after="0"/>
        <w:tabs>
          <w:tab w:leader="none" w:pos="7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Rent review</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On the Rent Review Date, the Rent is to be reviewed to the higher of:</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Rent payable immediately before the Rent Review Date; and</w:t>
      </w:r>
    </w:p>
    <w:p>
      <w:pPr>
        <w:spacing w:after="0" w:line="21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Market Rent.</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reviewed Rent will be payable from and including the Rent Review Date.</w:t>
      </w:r>
    </w:p>
    <w:p>
      <w:pPr>
        <w:spacing w:after="0" w:line="212" w:lineRule="exact"/>
        <w:rPr>
          <w:sz w:val="20"/>
          <w:szCs w:val="20"/>
          <w:color w:val="auto"/>
        </w:rPr>
      </w:pPr>
    </w:p>
    <w:p>
      <w:pPr>
        <w:ind w:left="760" w:hanging="752"/>
        <w:spacing w:after="0"/>
        <w:tabs>
          <w:tab w:leader="none" w:pos="7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12" w:lineRule="exact"/>
        <w:rPr>
          <w:sz w:val="20"/>
          <w:szCs w:val="20"/>
          <w:color w:val="auto"/>
        </w:rPr>
      </w:pPr>
    </w:p>
    <w:p>
      <w:pPr>
        <w:jc w:val="both"/>
        <w:ind w:left="760" w:hanging="748"/>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Market Rent at the Rent Review Date may be agreed between the Landlord and the Tenant. If they have not done so (whether or not they have tried) by the date three months before the Rent Review Date, either the Landlord or the Tenant can require the Market Rent to be decided by an independent arbitrator. If the Landlord and the Tenant do not agree on who should decide the Market Rent, the arbitrator will be appointed by the Chair (or other senior office holder) for the time being of the Royal Institution of Chartered Surveyors in Scotland (as constituted, re-constituted, formed or re-formed from time to time) on the application of either the Landlord or the Tenant. The seat of the arbitration will be Scotland and the reference to the arbitration will take effect subject to and in accordance with the Arbitration (Scotland) Act 2010.</w:t>
      </w:r>
    </w:p>
    <w:p>
      <w:pPr>
        <w:spacing w:after="0" w:line="185"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arbitrator must be an independent chartered surveyor of not less than 10 years' standing who is experienced in the rental valuation of property similar to the Premises and who knows the local market for such premises.</w:t>
      </w:r>
    </w:p>
    <w:p>
      <w:pPr>
        <w:spacing w:after="0" w:line="154"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If the arbitrator dies, becomes unwilling or incapable of acting or it becomes apparent for any other reason that the arbitrator will be unable to decide the Market Rent within a reasonable time, the arbitrator may be replaced by a new arbitrator who must be appointed on the terms set out in this paragraph 3.</w:t>
      </w:r>
    </w:p>
    <w:p>
      <w:pPr>
        <w:spacing w:after="0" w:line="169"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Responsibility for the costs of referring a dispute to an arbitrator, including costs connected with the appointment of the arbitrator, will be decided by the arbitrator and failing a decision, they will be shared equally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t>11</w:t>
      </w:r>
    </w:p>
    <w:p>
      <w:pPr>
        <w:spacing w:after="0" w:line="333" w:lineRule="exact"/>
        <w:rPr>
          <w:sz w:val="20"/>
          <w:szCs w:val="20"/>
          <w:color w:val="auto"/>
        </w:rPr>
      </w:pPr>
    </w:p>
    <w:p>
      <w:pPr>
        <w:ind w:left="760" w:hanging="752"/>
        <w:spacing w:after="0"/>
        <w:tabs>
          <w:tab w:leader="none" w:pos="7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delay in agreeing the revised rent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by the Rent Review Date, the reviewed Rent has not been ascertained, then:</w:t>
      </w:r>
    </w:p>
    <w:p>
      <w:pPr>
        <w:spacing w:after="0" w:line="212"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Rent payable under this Lease immediately before the Rent Review Date will continue to be payable until the reviewed Rent has been ascertained;</w:t>
      </w:r>
    </w:p>
    <w:p>
      <w:pPr>
        <w:spacing w:after="0" w:line="154"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following the ascertainment of the reviewed Rent, the Landlord will demand the difference (if any) between the amount the Tenant has actually paid and the amount that would have been payable had the reviewed Rent been ascertained before the Rent Review Date; and</w:t>
      </w:r>
    </w:p>
    <w:p>
      <w:pPr>
        <w:spacing w:after="0" w:line="169"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Tenant must pay that difference to the Landlord within 10 Business Days after that demand and interest at the base rate for the time being of the Royal Bank of Scotland plc calculated on a daily basis on each instalment of that difference from the date on which each instalment would have become payable to the date of payment. If not paid those sums will be treated as rent in arrear.</w:t>
      </w:r>
    </w:p>
    <w:p>
      <w:pPr>
        <w:spacing w:after="0" w:line="169" w:lineRule="exact"/>
        <w:rPr>
          <w:sz w:val="20"/>
          <w:szCs w:val="20"/>
          <w:color w:val="auto"/>
        </w:rPr>
      </w:pPr>
    </w:p>
    <w:p>
      <w:pPr>
        <w:ind w:left="760" w:hanging="752"/>
        <w:spacing w:after="0"/>
        <w:tabs>
          <w:tab w:leader="none" w:pos="7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Rent review memorandum</w:t>
      </w:r>
    </w:p>
    <w:p>
      <w:pPr>
        <w:spacing w:after="0" w:line="212"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When the Market Rent has been ascertained, a memorandum recording the Rent payable on review must be entered into. The Landlord and the Tenant will each bear their own costs in relation to that memorandum, except that the Tenant must pay to the Landlord the dues of registering that memorandum in the Books of Council and Session and of obtaining two extracts (one being provided for the Landlord and one for the Tenant).</w:t>
      </w:r>
    </w:p>
    <w:p>
      <w:pPr>
        <w:spacing w:after="0" w:line="174" w:lineRule="exact"/>
        <w:rPr>
          <w:sz w:val="20"/>
          <w:szCs w:val="20"/>
          <w:color w:val="auto"/>
        </w:rPr>
      </w:pPr>
    </w:p>
    <w:p>
      <w:pPr>
        <w:ind w:left="760" w:hanging="752"/>
        <w:spacing w:after="0"/>
        <w:tabs>
          <w:tab w:leader="none" w:pos="7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Time not of the essence</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For the purpose of this Part of the Schedule time is not of the essence.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9" w:name="page320"/>
    <w:bookmarkEnd w:id="319"/>
    <w:p>
      <w:pPr>
        <w:spacing w:after="0"/>
        <w:rPr>
          <w:sz w:val="20"/>
          <w:szCs w:val="20"/>
          <w:color w:val="auto"/>
        </w:rPr>
      </w:pPr>
      <w:r>
        <w:rPr>
          <w:rFonts w:ascii="Arial" w:cs="Arial" w:eastAsia="Arial" w:hAnsi="Arial"/>
          <w:sz w:val="17"/>
          <w:szCs w:val="17"/>
          <w:color w:val="auto"/>
        </w:rPr>
        <w:t>This is the Plan referred to in the foregoing Minute of Variation between CUSTODIAN PROPERTY INCOME REIT PLC and NUCANA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10160</wp:posOffset>
            </wp:positionV>
            <wp:extent cx="7157720" cy="868807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7157720" cy="8688070"/>
                    </a:xfrm>
                    <a:prstGeom prst="rect">
                      <a:avLst/>
                    </a:prstGeom>
                    <a:noFill/>
                  </pic:spPr>
                </pic:pic>
              </a:graphicData>
            </a:graphic>
          </wp:anchor>
        </w:drawing>
      </w:r>
    </w:p>
    <w:p>
      <w:pPr>
        <w:sectPr>
          <w:pgSz w:w="11900" w:h="16838" w:orient="portrait"/>
          <w:cols w:equalWidth="0" w:num="1">
            <w:col w:w="10520"/>
          </w:cols>
          <w:pgMar w:left="680" w:top="563" w:right="69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REQUIRED BY RULE 13A-14(A) OR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Hugh S. Griffith, certify that:</w:t>
      </w:r>
    </w:p>
    <w:p>
      <w:pPr>
        <w:spacing w:after="0" w:line="225" w:lineRule="exact"/>
        <w:rPr>
          <w:sz w:val="20"/>
          <w:szCs w:val="20"/>
          <w:color w:val="auto"/>
        </w:rPr>
      </w:pPr>
    </w:p>
    <w:p>
      <w:pPr>
        <w:ind w:left="520" w:hanging="512"/>
        <w:spacing w:after="0"/>
        <w:tabs>
          <w:tab w:leader="none" w:pos="5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NuCana plc;</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312" w:lineRule="auto"/>
        <w:tabs>
          <w:tab w:leader="none" w:pos="509"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20" w:firstLine="8"/>
        <w:spacing w:after="0" w:line="282" w:lineRule="auto"/>
        <w:tabs>
          <w:tab w:leader="none" w:pos="5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left="380" w:right="14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380" w:right="340"/>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380" w:right="960"/>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left="380" w:right="40"/>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2" w:lineRule="exact"/>
        <w:rPr>
          <w:sz w:val="20"/>
          <w:szCs w:val="20"/>
          <w:color w:val="auto"/>
        </w:rPr>
      </w:pPr>
    </w:p>
    <w:p>
      <w:pPr>
        <w:ind w:right="220" w:firstLine="8"/>
        <w:spacing w:after="0" w:line="282" w:lineRule="auto"/>
        <w:tabs>
          <w:tab w:leader="none" w:pos="50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sz w:val="20"/>
          <w:szCs w:val="20"/>
          <w:color w:val="auto"/>
        </w:rPr>
      </w:pPr>
    </w:p>
    <w:p>
      <w:pPr>
        <w:ind w:left="380" w:right="36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sz w:val="20"/>
          <w:szCs w:val="20"/>
          <w:color w:val="auto"/>
        </w:rPr>
      </w:pPr>
    </w:p>
    <w:p>
      <w:pPr>
        <w:ind w:left="380" w:right="320"/>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company’s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712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Hugh S. Griffith</w:t>
            </w:r>
          </w:p>
        </w:tc>
      </w:tr>
      <w:tr>
        <w:trPr>
          <w:trHeight w:val="191"/>
        </w:trPr>
        <w:tc>
          <w:tcPr>
            <w:tcW w:w="4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Hugh S. Griffith</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84"/>
        </w:trPr>
        <w:tc>
          <w:tcPr>
            <w:tcW w:w="41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REQUIRED BY RULE 13A-14(A) OR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Webster, certify that:</w:t>
      </w:r>
    </w:p>
    <w:p>
      <w:pPr>
        <w:spacing w:after="0" w:line="225" w:lineRule="exact"/>
        <w:rPr>
          <w:sz w:val="20"/>
          <w:szCs w:val="20"/>
          <w:color w:val="auto"/>
        </w:rPr>
      </w:pPr>
    </w:p>
    <w:p>
      <w:pPr>
        <w:ind w:left="520" w:hanging="512"/>
        <w:spacing w:after="0"/>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NuCana plc;</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312" w:lineRule="auto"/>
        <w:tabs>
          <w:tab w:leader="none" w:pos="509"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20" w:firstLine="8"/>
        <w:spacing w:after="0" w:line="282" w:lineRule="auto"/>
        <w:tabs>
          <w:tab w:leader="none" w:pos="50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0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left="380" w:right="14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380" w:right="340"/>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380" w:right="960"/>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left="380" w:right="40"/>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2" w:lineRule="exact"/>
        <w:rPr>
          <w:sz w:val="20"/>
          <w:szCs w:val="20"/>
          <w:color w:val="auto"/>
        </w:rPr>
      </w:pPr>
    </w:p>
    <w:p>
      <w:pPr>
        <w:ind w:right="220" w:firstLine="8"/>
        <w:spacing w:after="0" w:line="282" w:lineRule="auto"/>
        <w:tabs>
          <w:tab w:leader="none" w:pos="50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sz w:val="20"/>
          <w:szCs w:val="20"/>
          <w:color w:val="auto"/>
        </w:rPr>
      </w:pPr>
    </w:p>
    <w:p>
      <w:pPr>
        <w:ind w:left="380" w:right="36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sz w:val="20"/>
          <w:szCs w:val="20"/>
          <w:color w:val="auto"/>
        </w:rPr>
      </w:pPr>
    </w:p>
    <w:p>
      <w:pPr>
        <w:ind w:left="380" w:right="320"/>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company’s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712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Ian Webster</w:t>
            </w:r>
          </w:p>
        </w:tc>
      </w:tr>
      <w:tr>
        <w:trPr>
          <w:trHeight w:val="191"/>
        </w:trPr>
        <w:tc>
          <w:tcPr>
            <w:tcW w:w="4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Webster</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884"/>
        </w:trPr>
        <w:tc>
          <w:tcPr>
            <w:tcW w:w="41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Hugh S. Griffith, Chief Executive Officer of NuCana plc (the “Company”), hereby certify, pursuant to 18 U.S.C. §1350, as adopted pursuant to §906 of the Sarbanes-Oxley Act of 2002, that, to the best of my knowledge:</w:t>
      </w:r>
    </w:p>
    <w:p>
      <w:pPr>
        <w:spacing w:after="0" w:line="162" w:lineRule="exact"/>
        <w:rPr>
          <w:sz w:val="20"/>
          <w:szCs w:val="20"/>
          <w:color w:val="auto"/>
        </w:rPr>
      </w:pPr>
    </w:p>
    <w:p>
      <w:pPr>
        <w:ind w:left="760" w:right="120" w:hanging="378"/>
        <w:spacing w:after="0" w:line="282" w:lineRule="auto"/>
        <w:tabs>
          <w:tab w:leader="none" w:pos="7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the Company for the period ended December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Hugh S. Griffith</w:t>
            </w:r>
          </w:p>
        </w:tc>
      </w:tr>
      <w:tr>
        <w:trPr>
          <w:trHeight w:val="191"/>
        </w:trPr>
        <w:tc>
          <w:tcPr>
            <w:tcW w:w="7100" w:type="dxa"/>
            <w:vAlign w:val="bottom"/>
          </w:tcPr>
          <w:p>
            <w:pPr>
              <w:spacing w:after="0"/>
              <w:rPr>
                <w:sz w:val="16"/>
                <w:szCs w:val="16"/>
                <w:color w:val="auto"/>
              </w:rPr>
            </w:pP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Hugh S. Griffith</w:t>
            </w:r>
          </w:p>
        </w:tc>
      </w:tr>
      <w:tr>
        <w:trPr>
          <w:trHeight w:val="216"/>
        </w:trPr>
        <w:tc>
          <w:tcPr>
            <w:tcW w:w="7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Ian Webster, Interim Chief Financial Officer of NuCana plc (the “Company”), hereby certify, pursuant to 18 U.S.C. §1350, as adopted pursuant to §906 of the Sarbanes-Oxley Act of 2002, that, to the best of my knowledge:</w:t>
      </w:r>
    </w:p>
    <w:p>
      <w:pPr>
        <w:spacing w:after="0" w:line="162" w:lineRule="exact"/>
        <w:rPr>
          <w:sz w:val="20"/>
          <w:szCs w:val="20"/>
          <w:color w:val="auto"/>
        </w:rPr>
      </w:pPr>
    </w:p>
    <w:p>
      <w:pPr>
        <w:ind w:left="760" w:right="120" w:hanging="378"/>
        <w:spacing w:after="0" w:line="282" w:lineRule="auto"/>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the Company for the period ended December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Webster</w:t>
            </w:r>
          </w:p>
        </w:tc>
      </w:tr>
      <w:tr>
        <w:trPr>
          <w:trHeight w:val="191"/>
        </w:trPr>
        <w:tc>
          <w:tcPr>
            <w:tcW w:w="7100" w:type="dxa"/>
            <w:vAlign w:val="bottom"/>
          </w:tcPr>
          <w:p>
            <w:pPr>
              <w:spacing w:after="0"/>
              <w:rPr>
                <w:sz w:val="16"/>
                <w:szCs w:val="16"/>
                <w:color w:val="auto"/>
              </w:rPr>
            </w:pP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Webster</w:t>
            </w:r>
          </w:p>
        </w:tc>
      </w:tr>
      <w:tr>
        <w:trPr>
          <w:trHeight w:val="216"/>
        </w:trPr>
        <w:tc>
          <w:tcPr>
            <w:tcW w:w="7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7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7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627"/>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9"/>
          <w:szCs w:val="19"/>
          <w:b w:val="1"/>
          <w:bCs w:val="1"/>
          <w:color w:val="333333"/>
        </w:rPr>
        <w:t>Exhibit 15.1</w:t>
      </w:r>
    </w:p>
    <w:p>
      <w:pPr>
        <w:spacing w:after="0" w:line="214" w:lineRule="exact"/>
        <w:rPr>
          <w:sz w:val="20"/>
          <w:szCs w:val="20"/>
          <w:color w:val="auto"/>
        </w:rPr>
      </w:pPr>
    </w:p>
    <w:p>
      <w:pPr>
        <w:ind w:left="3140"/>
        <w:spacing w:after="0"/>
        <w:rPr>
          <w:sz w:val="20"/>
          <w:szCs w:val="20"/>
          <w:color w:val="auto"/>
        </w:rPr>
      </w:pPr>
      <w:r>
        <w:rPr>
          <w:rFonts w:ascii="Arial" w:cs="Arial" w:eastAsia="Arial" w:hAnsi="Arial"/>
          <w:sz w:val="19"/>
          <w:szCs w:val="19"/>
          <w:color w:val="333333"/>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214" w:lineRule="exact"/>
        <w:rPr>
          <w:sz w:val="20"/>
          <w:szCs w:val="20"/>
          <w:color w:val="auto"/>
        </w:rPr>
      </w:pPr>
    </w:p>
    <w:p>
      <w:pPr>
        <w:ind w:left="760" w:hanging="378"/>
        <w:spacing w:after="0"/>
        <w:tabs>
          <w:tab w:leader="none" w:pos="760" w:val="left"/>
        </w:tabs>
        <w:numPr>
          <w:ilvl w:val="0"/>
          <w:numId w:val="352"/>
        </w:numPr>
        <w:rPr>
          <w:rFonts w:ascii="Arial" w:cs="Arial" w:eastAsia="Arial" w:hAnsi="Arial"/>
          <w:sz w:val="19"/>
          <w:szCs w:val="19"/>
          <w:color w:val="333333"/>
        </w:rPr>
      </w:pPr>
      <w:r>
        <w:rPr>
          <w:rFonts w:ascii="Arial" w:cs="Arial" w:eastAsia="Arial" w:hAnsi="Arial"/>
          <w:sz w:val="19"/>
          <w:szCs w:val="19"/>
          <w:color w:val="333333"/>
        </w:rPr>
        <w:t>Registration Statement (Form F-3/A No. 333-281576) of NuCana plc and in the related Prospectus,</w:t>
      </w:r>
    </w:p>
    <w:p>
      <w:pPr>
        <w:spacing w:after="0" w:line="15" w:lineRule="exact"/>
        <w:rPr>
          <w:rFonts w:ascii="Arial" w:cs="Arial" w:eastAsia="Arial" w:hAnsi="Arial"/>
          <w:sz w:val="19"/>
          <w:szCs w:val="19"/>
          <w:color w:val="333333"/>
        </w:rPr>
      </w:pPr>
    </w:p>
    <w:p>
      <w:pPr>
        <w:jc w:val="both"/>
        <w:ind w:left="760" w:right="560" w:hanging="378"/>
        <w:spacing w:after="0" w:line="237" w:lineRule="auto"/>
        <w:tabs>
          <w:tab w:leader="none" w:pos="760" w:val="left"/>
        </w:tabs>
        <w:numPr>
          <w:ilvl w:val="0"/>
          <w:numId w:val="352"/>
        </w:numPr>
        <w:rPr>
          <w:rFonts w:ascii="Arial" w:cs="Arial" w:eastAsia="Arial" w:hAnsi="Arial"/>
          <w:sz w:val="19"/>
          <w:szCs w:val="19"/>
          <w:color w:val="333333"/>
        </w:rPr>
      </w:pPr>
      <w:r>
        <w:rPr>
          <w:rFonts w:ascii="Arial" w:cs="Arial" w:eastAsia="Arial" w:hAnsi="Arial"/>
          <w:sz w:val="19"/>
          <w:szCs w:val="19"/>
          <w:color w:val="333333"/>
        </w:rPr>
        <w:t>Registration Statement (Form S-8 No. 333-223476) pertaining to both NuCana BioMed Limited Option Share Schemes (Including Management Enterprise Incentives) and the NuCana BioMed Limited 2016 Share Option Scheme (Including Management Enterprise Incentives and Incentive Stock Options) of NuCana plc, and</w:t>
      </w:r>
    </w:p>
    <w:p>
      <w:pPr>
        <w:ind w:left="760" w:right="260" w:hanging="378"/>
        <w:spacing w:after="0" w:line="251" w:lineRule="auto"/>
        <w:tabs>
          <w:tab w:leader="none" w:pos="760" w:val="left"/>
        </w:tabs>
        <w:numPr>
          <w:ilvl w:val="0"/>
          <w:numId w:val="352"/>
        </w:numPr>
        <w:rPr>
          <w:rFonts w:ascii="Arial" w:cs="Arial" w:eastAsia="Arial" w:hAnsi="Arial"/>
          <w:sz w:val="19"/>
          <w:szCs w:val="19"/>
          <w:color w:val="333333"/>
        </w:rPr>
      </w:pPr>
      <w:r>
        <w:rPr>
          <w:rFonts w:ascii="Arial" w:cs="Arial" w:eastAsia="Arial" w:hAnsi="Arial"/>
          <w:sz w:val="19"/>
          <w:szCs w:val="19"/>
          <w:color w:val="333333"/>
        </w:rPr>
        <w:t>Registration Statement (Form S-8 No. 333-248135) pertaining to both the NuCana plc 2020 Long-Term Incentive Plan and the NuCana plc 2020 Company Share Option Plan of NuCana plc;</w:t>
      </w:r>
    </w:p>
    <w:p>
      <w:pPr>
        <w:spacing w:after="0" w:line="389"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333333"/>
        </w:rPr>
        <w:t>of our report dated March 19, 2026, with respect to the consolidated financial statements of NuCana plc included in this Annual Report (Form 20-F) of NuCana plc for the year ended December 31, 2025.</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333333"/>
        </w:rPr>
        <w:t>Edinburgh, United Kingdom</w:t>
      </w:r>
    </w:p>
    <w:p>
      <w:pPr>
        <w:spacing w:after="0"/>
        <w:rPr>
          <w:sz w:val="20"/>
          <w:szCs w:val="20"/>
          <w:color w:val="auto"/>
        </w:rPr>
      </w:pPr>
      <w:r>
        <w:rPr>
          <w:rFonts w:ascii="Arial" w:cs="Arial" w:eastAsia="Arial" w:hAnsi="Arial"/>
          <w:sz w:val="19"/>
          <w:szCs w:val="19"/>
          <w:color w:val="333333"/>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1243330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6"/>
              </w:rPr>
              <w:t>Exhibit 19.1</w:t>
            </w:r>
          </w:p>
        </w:tc>
        <w:tc>
          <w:tcPr>
            <w:tcW w:w="0" w:type="dxa"/>
            <w:vAlign w:val="bottom"/>
          </w:tcPr>
          <w:p>
            <w:pPr>
              <w:spacing w:after="0"/>
              <w:rPr>
                <w:sz w:val="1"/>
                <w:szCs w:val="1"/>
                <w:color w:val="auto"/>
              </w:rPr>
            </w:pPr>
          </w:p>
        </w:tc>
      </w:tr>
      <w:tr>
        <w:trPr>
          <w:trHeight w:val="741"/>
        </w:trPr>
        <w:tc>
          <w:tcPr>
            <w:tcW w:w="9460" w:type="dxa"/>
            <w:vAlign w:val="bottom"/>
          </w:tcPr>
          <w:p>
            <w:pPr>
              <w:jc w:val="center"/>
              <w:ind w:left="1692"/>
              <w:spacing w:after="0"/>
              <w:rPr>
                <w:sz w:val="20"/>
                <w:szCs w:val="20"/>
                <w:color w:val="auto"/>
              </w:rPr>
            </w:pPr>
            <w:r>
              <w:rPr>
                <w:rFonts w:ascii="Times New Roman" w:cs="Times New Roman" w:eastAsia="Times New Roman" w:hAnsi="Times New Roman"/>
                <w:sz w:val="22"/>
                <w:szCs w:val="22"/>
                <w:b w:val="1"/>
                <w:bCs w:val="1"/>
                <w:color w:val="auto"/>
                <w:w w:val="98"/>
              </w:rPr>
              <w:t>NUCANA PLC</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460" w:type="dxa"/>
            <w:vAlign w:val="bottom"/>
          </w:tcPr>
          <w:p>
            <w:pPr>
              <w:jc w:val="center"/>
              <w:ind w:left="1672"/>
              <w:spacing w:after="0"/>
              <w:rPr>
                <w:sz w:val="20"/>
                <w:szCs w:val="20"/>
                <w:color w:val="auto"/>
              </w:rPr>
            </w:pPr>
            <w:r>
              <w:rPr>
                <w:rFonts w:ascii="Times New Roman" w:cs="Times New Roman" w:eastAsia="Times New Roman" w:hAnsi="Times New Roman"/>
                <w:sz w:val="22"/>
                <w:szCs w:val="22"/>
                <w:color w:val="auto"/>
                <w:w w:val="98"/>
              </w:rPr>
              <w:t>INSIDER TRADING POLICY</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9460" w:type="dxa"/>
            <w:vAlign w:val="bottom"/>
          </w:tcPr>
          <w:p>
            <w:pPr>
              <w:jc w:val="center"/>
              <w:ind w:left="1672"/>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780" w:type="dxa"/>
            <w:vAlign w:val="bottom"/>
            <w:gridSpan w:val="3"/>
            <w:vMerge w:val="restart"/>
          </w:tcPr>
          <w:p>
            <w:pPr>
              <w:ind w:left="9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190"/>
        </w:trPr>
        <w:tc>
          <w:tcPr>
            <w:tcW w:w="946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94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I.The Need for an Insider Trading Policy</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22"/>
                <w:szCs w:val="22"/>
                <w:color w:val="auto"/>
              </w:rPr>
              <w:t>2</w:t>
            </w: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II.What is Material Non-Public Information?</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2</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III.The Consequences of Insider Trading</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4</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IV.Our Policy</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General Prohibition on Trading</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Transactions by Family Members, Others in Your Household and Entities You Control</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Other Companies’ Non-public Information</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Personal or Independent Reasons Are Not Exceptions</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Policy Administrator</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When Information Becomes Public</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5</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Prohibited Trading Periods</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6</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Exceptions for Certain Transactions</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7</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Pre-Clearance of All Acquisitions, Sales and Other Transfers by Certain Company Personnel</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8</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V.Individual Responsibility</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9</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VI.Additional Prohibited Transactions</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VII.Summary of Insider Dealing provisions under the Criminal Justice Act 1993</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VIII.Post-Termination Transactions</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IX.Company Assistance</w:t>
            </w:r>
          </w:p>
        </w:tc>
        <w:tc>
          <w:tcPr>
            <w:tcW w:w="980" w:type="dxa"/>
            <w:vAlign w:val="bottom"/>
          </w:tcPr>
          <w:p>
            <w:pPr>
              <w:jc w:val="right"/>
              <w:ind w:right="233"/>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94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X.Certifications</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22"/>
                <w:szCs w:val="22"/>
                <w:color w:val="auto"/>
              </w:rPr>
              <w:t>11</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5"/>
        </w:trPr>
        <w:tc>
          <w:tcPr>
            <w:tcW w:w="9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6" w:name="page327"/>
    <w:bookmarkEnd w:id="326"/>
    <w:p>
      <w:pPr>
        <w:ind w:right="16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NUCANA PLC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regarding trading by Company personnel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securities (the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or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This Policy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below.</w:t>
      </w:r>
    </w:p>
    <w:p>
      <w:pPr>
        <w:spacing w:after="0" w:line="177" w:lineRule="exact"/>
        <w:rPr>
          <w:sz w:val="20"/>
          <w:szCs w:val="20"/>
          <w:color w:val="auto"/>
        </w:rPr>
      </w:pPr>
    </w:p>
    <w:p>
      <w:pPr>
        <w:ind w:left="760" w:right="7100" w:hanging="752"/>
        <w:spacing w:after="0" w:line="458" w:lineRule="auto"/>
        <w:tabs>
          <w:tab w:leader="none" w:pos="443" w:val="left"/>
        </w:tabs>
        <w:numPr>
          <w:ilvl w:val="0"/>
          <w:numId w:val="3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 xml:space="preserve">The Need for an Insider Trading Policy </w:t>
      </w:r>
      <w:r>
        <w:rPr>
          <w:rFonts w:ascii="Times New Roman" w:cs="Times New Roman" w:eastAsia="Times New Roman" w:hAnsi="Times New Roman"/>
          <w:sz w:val="21"/>
          <w:szCs w:val="21"/>
          <w:color w:val="auto"/>
        </w:rPr>
        <w:t>This Policy has been developed:</w:t>
      </w:r>
    </w:p>
    <w:p>
      <w:pPr>
        <w:ind w:left="1140" w:right="420" w:firstLine="58"/>
        <w:spacing w:after="0" w:line="25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to educate all Company personnel as to the federal securities laws and the rules of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insider trading in public company securities;</w:t>
      </w:r>
    </w:p>
    <w:p>
      <w:pPr>
        <w:spacing w:after="0" w:line="158" w:lineRule="exact"/>
        <w:rPr>
          <w:rFonts w:ascii="Times New Roman" w:cs="Times New Roman" w:eastAsia="Times New Roman" w:hAnsi="Times New Roman"/>
          <w:sz w:val="21"/>
          <w:szCs w:val="21"/>
          <w:b w:val="1"/>
          <w:bCs w:val="1"/>
          <w:color w:val="auto"/>
        </w:rPr>
      </w:pPr>
    </w:p>
    <w:p>
      <w:pPr>
        <w:ind w:left="1140" w:right="300" w:firstLine="58"/>
        <w:spacing w:after="0" w:line="25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to set forth requirements that apply to Company personnel and other persons covered by this Policy who seek to trade in the Company’s securities;</w:t>
      </w:r>
    </w:p>
    <w:p>
      <w:pPr>
        <w:spacing w:after="0" w:line="158" w:lineRule="exact"/>
        <w:rPr>
          <w:rFonts w:ascii="Times New Roman" w:cs="Times New Roman" w:eastAsia="Times New Roman" w:hAnsi="Times New Roman"/>
          <w:sz w:val="21"/>
          <w:szCs w:val="21"/>
          <w:b w:val="1"/>
          <w:bCs w:val="1"/>
          <w:color w:val="auto"/>
        </w:rPr>
      </w:pP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to protect the Company and its personnel from legal liability; and</w:t>
      </w:r>
    </w:p>
    <w:p>
      <w:pPr>
        <w:spacing w:after="0" w:line="206" w:lineRule="exact"/>
        <w:rPr>
          <w:rFonts w:ascii="Times New Roman" w:cs="Times New Roman" w:eastAsia="Times New Roman" w:hAnsi="Times New Roman"/>
          <w:sz w:val="21"/>
          <w:szCs w:val="21"/>
          <w:b w:val="1"/>
          <w:bCs w:val="1"/>
          <w:color w:val="auto"/>
        </w:rPr>
      </w:pP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to preserve the reputation of the Company and its personnel for integrity and ethical conduct.</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Because the Company is a public company, transactions in the Company’s securities are subject to the federal securities laws and regulations adopted by the SEC. These laws and regulations make it illegal for an individual to buy or sell securities of the Company while aware of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spacing w:after="0" w:line="179" w:lineRule="exact"/>
        <w:rPr>
          <w:sz w:val="20"/>
          <w:szCs w:val="20"/>
          <w:color w:val="auto"/>
        </w:rPr>
      </w:pPr>
    </w:p>
    <w:p>
      <w:pPr>
        <w:ind w:left="760" w:right="6780" w:hanging="752"/>
        <w:spacing w:after="0" w:line="437" w:lineRule="auto"/>
        <w:tabs>
          <w:tab w:leader="none" w:pos="443" w:val="left"/>
        </w:tabs>
        <w:numPr>
          <w:ilvl w:val="0"/>
          <w:numId w:val="3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What is Material Non-Public Information? </w:t>
      </w:r>
      <w:r>
        <w:rPr>
          <w:rFonts w:ascii="Times New Roman" w:cs="Times New Roman" w:eastAsia="Times New Roman" w:hAnsi="Times New Roman"/>
          <w:sz w:val="22"/>
          <w:szCs w:val="22"/>
          <w:b w:val="1"/>
          <w:bCs w:val="1"/>
          <w:i w:val="1"/>
          <w:iCs w:val="1"/>
          <w:color w:val="auto"/>
        </w:rPr>
        <w:t>Definition.</w:t>
      </w:r>
    </w:p>
    <w:p>
      <w:pPr>
        <w:ind w:left="1180" w:right="3640" w:hanging="432"/>
        <w:spacing w:after="0" w:line="4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Material non-public information is any information (positive or negative) that: is not generally known to the public, and</w:t>
      </w:r>
    </w:p>
    <w:p>
      <w:pPr>
        <w:ind w:left="1140" w:right="440" w:firstLine="5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which, if publicly known, would likely affect either the market price of the Company’s securities or a person’s decision to buy, sell or hold the Company’s securities.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327" w:name="page328"/>
    <w:bookmarkEnd w:id="327"/>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Examples.  </w:t>
      </w:r>
      <w:r>
        <w:rPr>
          <w:rFonts w:ascii="Times New Roman" w:cs="Times New Roman" w:eastAsia="Times New Roman" w:hAnsi="Times New Roman"/>
          <w:sz w:val="22"/>
          <w:szCs w:val="22"/>
          <w:color w:val="auto"/>
        </w:rPr>
        <w:t>Common examples of information that will frequently be regarded as material include, but are not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182" w:lineRule="exact"/>
        <w:rPr>
          <w:sz w:val="20"/>
          <w:szCs w:val="20"/>
          <w:color w:val="auto"/>
        </w:rPr>
      </w:pPr>
    </w:p>
    <w:p>
      <w:pPr>
        <w:ind w:left="1560" w:right="6320"/>
        <w:spacing w:after="0" w:line="238" w:lineRule="auto"/>
        <w:rPr>
          <w:sz w:val="20"/>
          <w:szCs w:val="20"/>
          <w:color w:val="auto"/>
        </w:rPr>
      </w:pPr>
      <w:r>
        <w:rPr>
          <w:rFonts w:ascii="Times New Roman" w:cs="Times New Roman" w:eastAsia="Times New Roman" w:hAnsi="Times New Roman"/>
          <w:sz w:val="22"/>
          <w:szCs w:val="22"/>
          <w:color w:val="auto"/>
        </w:rPr>
        <w:t>quarterly or annual earnings results; projections of future financial results; earnings or losses;</w:t>
      </w:r>
    </w:p>
    <w:p>
      <w:pPr>
        <w:ind w:left="1140"/>
        <w:spacing w:after="0" w:line="230" w:lineRule="auto"/>
        <w:rPr>
          <w:sz w:val="20"/>
          <w:szCs w:val="20"/>
          <w:color w:val="auto"/>
        </w:rPr>
      </w:pPr>
      <w:r>
        <w:rPr>
          <w:rFonts w:ascii="Times New Roman" w:cs="Times New Roman" w:eastAsia="Times New Roman" w:hAnsi="Times New Roman"/>
          <w:sz w:val="22"/>
          <w:szCs w:val="22"/>
          <w:color w:val="auto"/>
        </w:rPr>
        <w:t>news of a pending or proposed merger, acquisition or tender offer;</w:t>
      </w:r>
    </w:p>
    <w:p>
      <w:pPr>
        <w:ind w:left="1560" w:right="2800"/>
        <w:spacing w:after="0" w:line="230" w:lineRule="auto"/>
        <w:rPr>
          <w:sz w:val="20"/>
          <w:szCs w:val="20"/>
          <w:color w:val="auto"/>
        </w:rPr>
      </w:pPr>
      <w:r>
        <w:rPr>
          <w:rFonts w:ascii="Times New Roman" w:cs="Times New Roman" w:eastAsia="Times New Roman" w:hAnsi="Times New Roman"/>
          <w:sz w:val="22"/>
          <w:szCs w:val="22"/>
          <w:color w:val="auto"/>
        </w:rPr>
        <w:t>news of a pending or proposed acquisition or disposition of a significant asset; news of a pending or proposed joint venture;</w:t>
      </w:r>
    </w:p>
    <w:p>
      <w:pPr>
        <w:spacing w:after="0" w:line="1" w:lineRule="exact"/>
        <w:rPr>
          <w:sz w:val="20"/>
          <w:szCs w:val="20"/>
          <w:color w:val="auto"/>
        </w:rPr>
      </w:pPr>
    </w:p>
    <w:p>
      <w:pPr>
        <w:ind w:left="1140"/>
        <w:spacing w:after="0" w:line="230" w:lineRule="auto"/>
        <w:rPr>
          <w:sz w:val="20"/>
          <w:szCs w:val="20"/>
          <w:color w:val="auto"/>
        </w:rPr>
      </w:pPr>
      <w:r>
        <w:rPr>
          <w:rFonts w:ascii="Times New Roman" w:cs="Times New Roman" w:eastAsia="Times New Roman" w:hAnsi="Times New Roman"/>
          <w:sz w:val="22"/>
          <w:szCs w:val="22"/>
          <w:color w:val="auto"/>
        </w:rPr>
        <w:t>a company restructuring;</w:t>
      </w:r>
    </w:p>
    <w:p>
      <w:pPr>
        <w:ind w:left="1560" w:right="2700"/>
        <w:spacing w:after="0" w:line="230" w:lineRule="auto"/>
        <w:rPr>
          <w:sz w:val="20"/>
          <w:szCs w:val="20"/>
          <w:color w:val="auto"/>
        </w:rPr>
      </w:pPr>
      <w:r>
        <w:rPr>
          <w:rFonts w:ascii="Times New Roman" w:cs="Times New Roman" w:eastAsia="Times New Roman" w:hAnsi="Times New Roman"/>
          <w:sz w:val="22"/>
          <w:szCs w:val="22"/>
          <w:color w:val="auto"/>
        </w:rPr>
        <w:t>significant transactions with officers, directors or greater than 5% shareholders; financing transactions;</w:t>
      </w:r>
    </w:p>
    <w:p>
      <w:pPr>
        <w:spacing w:after="0" w:line="1" w:lineRule="exact"/>
        <w:rPr>
          <w:sz w:val="20"/>
          <w:szCs w:val="20"/>
          <w:color w:val="auto"/>
        </w:rPr>
      </w:pPr>
    </w:p>
    <w:p>
      <w:pPr>
        <w:ind w:left="1560" w:right="1040"/>
        <w:spacing w:after="0" w:line="230" w:lineRule="auto"/>
        <w:rPr>
          <w:sz w:val="20"/>
          <w:szCs w:val="20"/>
          <w:color w:val="auto"/>
        </w:rPr>
      </w:pPr>
      <w:r>
        <w:rPr>
          <w:rFonts w:ascii="Times New Roman" w:cs="Times New Roman" w:eastAsia="Times New Roman" w:hAnsi="Times New Roman"/>
          <w:sz w:val="22"/>
          <w:szCs w:val="22"/>
          <w:color w:val="auto"/>
        </w:rPr>
        <w:t>changes in dividend policies, the declaration of a stock split or the offering of additional securities; establishment of a stock repurchase program;</w:t>
      </w:r>
    </w:p>
    <w:p>
      <w:pPr>
        <w:spacing w:after="0" w:line="1" w:lineRule="exact"/>
        <w:rPr>
          <w:sz w:val="20"/>
          <w:szCs w:val="20"/>
          <w:color w:val="auto"/>
        </w:rPr>
      </w:pPr>
    </w:p>
    <w:p>
      <w:pPr>
        <w:ind w:left="1560" w:right="3580"/>
        <w:spacing w:after="0" w:line="230" w:lineRule="auto"/>
        <w:rPr>
          <w:sz w:val="20"/>
          <w:szCs w:val="20"/>
          <w:color w:val="auto"/>
        </w:rPr>
      </w:pPr>
      <w:r>
        <w:rPr>
          <w:rFonts w:ascii="Times New Roman" w:cs="Times New Roman" w:eastAsia="Times New Roman" w:hAnsi="Times New Roman"/>
          <w:sz w:val="22"/>
          <w:szCs w:val="22"/>
          <w:color w:val="auto"/>
        </w:rPr>
        <w:t>changes in pricing or cost structure of Company products or services; changes in management;</w:t>
      </w:r>
    </w:p>
    <w:p>
      <w:pPr>
        <w:spacing w:after="0" w:line="1" w:lineRule="exact"/>
        <w:rPr>
          <w:sz w:val="20"/>
          <w:szCs w:val="20"/>
          <w:color w:val="auto"/>
        </w:rPr>
      </w:pPr>
    </w:p>
    <w:p>
      <w:pPr>
        <w:ind w:left="1560" w:right="1800"/>
        <w:spacing w:after="0" w:line="230" w:lineRule="auto"/>
        <w:rPr>
          <w:sz w:val="20"/>
          <w:szCs w:val="20"/>
          <w:color w:val="auto"/>
        </w:rPr>
      </w:pPr>
      <w:r>
        <w:rPr>
          <w:rFonts w:ascii="Times New Roman" w:cs="Times New Roman" w:eastAsia="Times New Roman" w:hAnsi="Times New Roman"/>
          <w:sz w:val="22"/>
          <w:szCs w:val="22"/>
          <w:color w:val="auto"/>
        </w:rPr>
        <w:t>changes in auditors or notification that the auditor’s reports may no longer be relied upon; significant new products or discoveries;</w:t>
      </w:r>
    </w:p>
    <w:p>
      <w:pPr>
        <w:spacing w:after="0" w:line="1" w:lineRule="exact"/>
        <w:rPr>
          <w:sz w:val="20"/>
          <w:szCs w:val="20"/>
          <w:color w:val="auto"/>
        </w:rPr>
      </w:pPr>
    </w:p>
    <w:p>
      <w:pPr>
        <w:ind w:left="1140"/>
        <w:spacing w:after="0" w:line="230" w:lineRule="auto"/>
        <w:rPr>
          <w:sz w:val="20"/>
          <w:szCs w:val="20"/>
          <w:color w:val="auto"/>
        </w:rPr>
      </w:pPr>
      <w:r>
        <w:rPr>
          <w:rFonts w:ascii="Times New Roman" w:cs="Times New Roman" w:eastAsia="Times New Roman" w:hAnsi="Times New Roman"/>
          <w:sz w:val="22"/>
          <w:szCs w:val="22"/>
          <w:color w:val="auto"/>
        </w:rPr>
        <w:t>significant clinical or regulatory developments;</w:t>
      </w:r>
    </w:p>
    <w:p>
      <w:pPr>
        <w:ind w:left="1560" w:right="2800"/>
        <w:spacing w:after="0" w:line="230" w:lineRule="auto"/>
        <w:rPr>
          <w:sz w:val="20"/>
          <w:szCs w:val="20"/>
          <w:color w:val="auto"/>
        </w:rPr>
      </w:pPr>
      <w:r>
        <w:rPr>
          <w:rFonts w:ascii="Times New Roman" w:cs="Times New Roman" w:eastAsia="Times New Roman" w:hAnsi="Times New Roman"/>
          <w:sz w:val="22"/>
          <w:szCs w:val="22"/>
          <w:color w:val="auto"/>
        </w:rPr>
        <w:t>pending or threatened significant litigation, or the resolution of such litigation; impending bankruptcy or financial liquidity problems;</w:t>
      </w:r>
    </w:p>
    <w:p>
      <w:pPr>
        <w:spacing w:after="0" w:line="1" w:lineRule="exact"/>
        <w:rPr>
          <w:sz w:val="20"/>
          <w:szCs w:val="20"/>
          <w:color w:val="auto"/>
        </w:rPr>
      </w:pPr>
    </w:p>
    <w:p>
      <w:pPr>
        <w:ind w:left="1140"/>
        <w:spacing w:after="0" w:line="230" w:lineRule="auto"/>
        <w:rPr>
          <w:sz w:val="20"/>
          <w:szCs w:val="20"/>
          <w:color w:val="auto"/>
        </w:rPr>
      </w:pPr>
      <w:r>
        <w:rPr>
          <w:rFonts w:ascii="Times New Roman" w:cs="Times New Roman" w:eastAsia="Times New Roman" w:hAnsi="Times New Roman"/>
          <w:sz w:val="22"/>
          <w:szCs w:val="22"/>
          <w:color w:val="auto"/>
        </w:rPr>
        <w:t>internal financial information which departs from what the market expects;</w:t>
      </w:r>
    </w:p>
    <w:p>
      <w:pPr>
        <w:ind w:left="1560" w:right="440"/>
        <w:spacing w:after="0" w:line="230" w:lineRule="auto"/>
        <w:rPr>
          <w:sz w:val="20"/>
          <w:szCs w:val="20"/>
          <w:color w:val="auto"/>
        </w:rPr>
      </w:pPr>
      <w:r>
        <w:rPr>
          <w:rFonts w:ascii="Times New Roman" w:cs="Times New Roman" w:eastAsia="Times New Roman" w:hAnsi="Times New Roman"/>
          <w:sz w:val="22"/>
          <w:szCs w:val="22"/>
          <w:color w:val="auto"/>
        </w:rPr>
        <w:t>the gain or loss of a significant customer or supplier, major contract, license, registration or collaboration; the entry, amendment or termination of a material contract; or</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other items that require the filing of a Current Report on Form 8-K with the SEC.</w:t>
      </w:r>
    </w:p>
    <w:p>
      <w:pPr>
        <w:spacing w:after="0" w:line="203"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Twenty-Twenty Hindsight. </w:t>
      </w:r>
      <w:r>
        <w:rPr>
          <w:rFonts w:ascii="Times New Roman" w:cs="Times New Roman" w:eastAsia="Times New Roman" w:hAnsi="Times New Roman"/>
          <w:sz w:val="22"/>
          <w:szCs w:val="22"/>
          <w:color w:val="auto"/>
        </w:rPr>
        <w:t>In determining whether information is material, the SEC and other regulators will view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spacing w:after="0" w:line="181"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328" w:name="page329"/>
    <w:bookmarkEnd w:id="328"/>
    <w:p>
      <w:pPr>
        <w:spacing w:after="0" w:line="397" w:lineRule="exact"/>
        <w:rPr>
          <w:sz w:val="20"/>
          <w:szCs w:val="20"/>
          <w:color w:val="auto"/>
        </w:rPr>
      </w:pPr>
    </w:p>
    <w:p>
      <w:pPr>
        <w:ind w:left="440" w:hanging="432"/>
        <w:spacing w:after="0"/>
        <w:tabs>
          <w:tab w:leader="none" w:pos="440"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Consequences of Insider Trading</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consequences of insider trading violations can be severe:</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For individuals</w:t>
      </w:r>
      <w:r>
        <w:rPr>
          <w:rFonts w:ascii="Times New Roman" w:cs="Times New Roman" w:eastAsia="Times New Roman" w:hAnsi="Times New Roman"/>
          <w:sz w:val="22"/>
          <w:szCs w:val="22"/>
          <w:color w:val="auto"/>
        </w:rPr>
        <w:t xml:space="preserve"> who trade while in possession of material non-public information (or tip information to others):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06" w:lineRule="exact"/>
        <w:rPr>
          <w:sz w:val="20"/>
          <w:szCs w:val="20"/>
          <w:color w:val="auto"/>
        </w:rPr>
      </w:pPr>
    </w:p>
    <w:p>
      <w:pPr>
        <w:ind w:left="1180" w:right="3820"/>
        <w:spacing w:after="0" w:line="435" w:lineRule="auto"/>
        <w:rPr>
          <w:sz w:val="20"/>
          <w:szCs w:val="20"/>
          <w:color w:val="auto"/>
        </w:rPr>
      </w:pPr>
      <w:r>
        <w:rPr>
          <w:rFonts w:ascii="Times New Roman" w:cs="Times New Roman" w:eastAsia="Times New Roman" w:hAnsi="Times New Roman"/>
          <w:sz w:val="22"/>
          <w:szCs w:val="22"/>
          <w:color w:val="auto"/>
        </w:rPr>
        <w:t>a criminal fine (no matter how small the profit) of up to $5 million; and a jail term of up to 20 years.</w:t>
      </w:r>
    </w:p>
    <w:p>
      <w:pPr>
        <w:spacing w:after="0" w:line="1"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These penalties can apply even if the individual is not a member of the Board of Directors or an officer of the Company. Moreover, if an employee violates this Policy, he or she may also be subject to Company-imposed sanctions, including termination for cause.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u w:val="single" w:color="auto"/>
          <w:color w:val="auto"/>
        </w:rPr>
        <w:t>For a Company</w:t>
      </w:r>
      <w:r>
        <w:rPr>
          <w:rFonts w:ascii="Times New Roman" w:cs="Times New Roman" w:eastAsia="Times New Roman" w:hAnsi="Times New Roman"/>
          <w:sz w:val="21"/>
          <w:szCs w:val="21"/>
          <w:color w:val="auto"/>
        </w:rPr>
        <w:t xml:space="preserve"> (as well as possibly any supervisory person) that fails to take appropriate steps to prevent illegal trading:</w:t>
      </w:r>
    </w:p>
    <w:p>
      <w:pPr>
        <w:spacing w:after="0" w:line="218" w:lineRule="exact"/>
        <w:rPr>
          <w:sz w:val="20"/>
          <w:szCs w:val="20"/>
          <w:color w:val="auto"/>
        </w:rPr>
      </w:pPr>
    </w:p>
    <w:p>
      <w:pPr>
        <w:ind w:left="1140" w:right="820" w:firstLine="58"/>
        <w:spacing w:after="0" w:line="258" w:lineRule="auto"/>
        <w:rPr>
          <w:sz w:val="20"/>
          <w:szCs w:val="20"/>
          <w:color w:val="auto"/>
        </w:rPr>
      </w:pPr>
      <w:r>
        <w:rPr>
          <w:rFonts w:ascii="Times New Roman" w:cs="Times New Roman" w:eastAsia="Times New Roman" w:hAnsi="Times New Roman"/>
          <w:sz w:val="22"/>
          <w:szCs w:val="22"/>
          <w:color w:val="auto"/>
        </w:rPr>
        <w:t>a civil penalty of the greater of $1 million or three times the profit gained or loss avoided as a result of the employee’s violation;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criminal penalty of up to $25 million.</w:t>
      </w:r>
    </w:p>
    <w:p>
      <w:pPr>
        <w:spacing w:after="0" w:line="206"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Any of the above consequences, including an SEC investigation that does not result in prosecution, can tarnish the Company’s or an individual’s reputation and irreparably damage a career.</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9" w:name="page330"/>
    <w:bookmarkEnd w:id="329"/>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22"/>
          <w:szCs w:val="22"/>
          <w:b w:val="1"/>
          <w:bCs w:val="1"/>
          <w:u w:val="single" w:color="auto"/>
          <w:color w:val="auto"/>
        </w:rPr>
        <w:t>Our Policy</w:t>
      </w:r>
    </w:p>
    <w:p>
      <w:pPr>
        <w:spacing w:after="0" w:line="204"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Prohibition on Trading </w:t>
      </w:r>
      <w:r>
        <w:rPr>
          <w:rFonts w:ascii="Times New Roman" w:cs="Times New Roman" w:eastAsia="Times New Roman" w:hAnsi="Times New Roman"/>
          <w:sz w:val="22"/>
          <w:szCs w:val="22"/>
          <w:color w:val="auto"/>
        </w:rPr>
        <w:t>TC "General Prohibition on Trading" \f C \l "2"</w:t>
      </w:r>
      <w:r>
        <w:rPr>
          <w:rFonts w:ascii="Times New Roman" w:cs="Times New Roman" w:eastAsia="Times New Roman" w:hAnsi="Times New Roman"/>
          <w:sz w:val="22"/>
          <w:szCs w:val="22"/>
          <w:b w:val="1"/>
          <w:bCs w:val="1"/>
          <w:i w:val="1"/>
          <w:iCs w:val="1"/>
          <w:color w:val="auto"/>
        </w:rPr>
        <w:t xml:space="preserve"> . </w:t>
      </w:r>
      <w:r>
        <w:rPr>
          <w:rFonts w:ascii="Times New Roman" w:cs="Times New Roman" w:eastAsia="Times New Roman" w:hAnsi="Times New Roman"/>
          <w:sz w:val="22"/>
          <w:szCs w:val="22"/>
          <w:color w:val="auto"/>
        </w:rPr>
        <w:t>Company personnel and Related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Persons (as defined below in this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may not buy or sell securities of the Company while in possession of material non-public information or engage in any other action to take advantage of, or pass on to others, that information, subject to the specific exceptions noted below in this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under the caption “Exceptions for Certain Transactions.”</w:t>
      </w:r>
    </w:p>
    <w:p>
      <w:pPr>
        <w:spacing w:after="0" w:line="172"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b w:val="1"/>
          <w:bCs w:val="1"/>
          <w:i w:val="1"/>
          <w:iCs w:val="1"/>
          <w:color w:val="auto"/>
        </w:rPr>
        <w:t xml:space="preserve">Transactions by Family Members, Others in Your Household and Entities You Control </w:t>
      </w:r>
      <w:r>
        <w:rPr>
          <w:rFonts w:ascii="Times New Roman" w:cs="Times New Roman" w:eastAsia="Times New Roman" w:hAnsi="Times New Roman"/>
          <w:sz w:val="21"/>
          <w:szCs w:val="21"/>
          <w:color w:val="auto"/>
        </w:rPr>
        <w:t>TC "Transactions by Family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Members, Others in Your Household and Entities You Control" \f C \l "2"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The restrictions in this Policy also 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167"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Companies’ Non-public Information </w:t>
      </w:r>
      <w:r>
        <w:rPr>
          <w:rFonts w:ascii="Times New Roman" w:cs="Times New Roman" w:eastAsia="Times New Roman" w:hAnsi="Times New Roman"/>
          <w:sz w:val="22"/>
          <w:szCs w:val="22"/>
          <w:color w:val="auto"/>
        </w:rPr>
        <w:t>TC "Other Companies’ Non-public Information" \f C \l "2"</w:t>
      </w:r>
      <w:r>
        <w:rPr>
          <w:rFonts w:ascii="Times New Roman" w:cs="Times New Roman" w:eastAsia="Times New Roman" w:hAnsi="Times New Roman"/>
          <w:sz w:val="22"/>
          <w:szCs w:val="22"/>
          <w:b w:val="1"/>
          <w:bCs w:val="1"/>
          <w:i w:val="1"/>
          <w:iCs w:val="1"/>
          <w:color w:val="auto"/>
        </w:rPr>
        <w:t xml:space="preserve"> . </w:t>
      </w:r>
      <w:r>
        <w:rPr>
          <w:rFonts w:ascii="Times New Roman" w:cs="Times New Roman" w:eastAsia="Times New Roman" w:hAnsi="Times New Roman"/>
          <w:sz w:val="22"/>
          <w:szCs w:val="22"/>
          <w:color w:val="auto"/>
        </w:rPr>
        <w:t>This Policy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also applies with equal force to information relating to any other company, including our customers or suppliers, obtained by Company personnel during the course of their service to or employment by the Company. Specifically, no Company personnel who, in the course of work on behalf of the Company, learns of material non-public information about a company with which the Company does business may trade in the other company’s securities until the information becomes public or is no longer material.</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Personal or Independent Reasons Are Not Exceptions </w:t>
      </w:r>
      <w:r>
        <w:rPr>
          <w:rFonts w:ascii="Times New Roman" w:cs="Times New Roman" w:eastAsia="Times New Roman" w:hAnsi="Times New Roman"/>
          <w:sz w:val="22"/>
          <w:szCs w:val="22"/>
          <w:color w:val="auto"/>
        </w:rPr>
        <w:t>TC "Personal or Independent Reasons Are Not Exceptions" \f 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\l "2"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Transactions in the Company’s securities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72"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Policy Administrator </w:t>
      </w:r>
      <w:r>
        <w:rPr>
          <w:rFonts w:ascii="Times New Roman" w:cs="Times New Roman" w:eastAsia="Times New Roman" w:hAnsi="Times New Roman"/>
          <w:sz w:val="22"/>
          <w:szCs w:val="22"/>
          <w:color w:val="auto"/>
        </w:rPr>
        <w:t>TC "Policy Administrator" \f C \l "2"</w:t>
      </w:r>
      <w:r>
        <w:rPr>
          <w:rFonts w:ascii="Times New Roman" w:cs="Times New Roman" w:eastAsia="Times New Roman" w:hAnsi="Times New Roman"/>
          <w:sz w:val="22"/>
          <w:szCs w:val="22"/>
          <w:b w:val="1"/>
          <w:bCs w:val="1"/>
          <w:i w:val="1"/>
          <w:iCs w:val="1"/>
          <w:color w:val="auto"/>
        </w:rPr>
        <w:t xml:space="preserve"> . </w:t>
      </w:r>
      <w:r>
        <w:rPr>
          <w:rFonts w:ascii="Times New Roman" w:cs="Times New Roman" w:eastAsia="Times New Roman" w:hAnsi="Times New Roman"/>
          <w:sz w:val="22"/>
          <w:szCs w:val="22"/>
          <w:color w:val="auto"/>
        </w:rPr>
        <w:t>This Policy shall be administered by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Hugh S. Griffith, Chief Executive Officer, and if such person is not available, then Moira Adamson, Director of Operations shall serve as the alternate Policy Administrator.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0" w:name="page331"/>
    <w:bookmarkEnd w:id="330"/>
    <w:p>
      <w:pPr>
        <w:ind w:right="40"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When Information Becomes Public </w:t>
      </w:r>
      <w:r>
        <w:rPr>
          <w:rFonts w:ascii="Times New Roman" w:cs="Times New Roman" w:eastAsia="Times New Roman" w:hAnsi="Times New Roman"/>
          <w:sz w:val="22"/>
          <w:szCs w:val="22"/>
          <w:color w:val="auto"/>
        </w:rPr>
        <w:t>TC "When Information Becomes Public" \f C \l "2"</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Policy applies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material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xml:space="preserve"> information about the Company, which means that trading is permitted once the information becomes known to the public (unless some other Company policy or legal obligation restricts trading at that time). Because the Company’s shareholders and the investing public should be afforded time to receive and absorb information, as a general rule you should not engage in any transactions until the beginning of the second business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76"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Prohibited Trading Periods </w:t>
      </w:r>
      <w:r>
        <w:rPr>
          <w:rFonts w:ascii="Times New Roman" w:cs="Times New Roman" w:eastAsia="Times New Roman" w:hAnsi="Times New Roman"/>
          <w:sz w:val="22"/>
          <w:szCs w:val="22"/>
          <w:color w:val="auto"/>
        </w:rPr>
        <w:t>TC "Prohibited Trading Periods" \f C \l "2"</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While it is never permissible to trade based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material non-public information, we are implementing the following procedures to help prevent inadvertent violations of this Policy and avoid even the appearance of an improper transaction (which could result, for example, where Company personnel engage in a trade while unaware </w:t>
      </w:r>
      <w:r>
        <w:rPr>
          <w:rFonts w:ascii="Times New Roman" w:cs="Times New Roman" w:eastAsia="Times New Roman" w:hAnsi="Times New Roman"/>
          <w:sz w:val="22"/>
          <w:szCs w:val="22"/>
          <w:i w:val="1"/>
          <w:iCs w:val="1"/>
          <w:color w:val="auto"/>
        </w:rPr>
        <w:t>of a pending major development).</w:t>
      </w:r>
    </w:p>
    <w:p>
      <w:pPr>
        <w:spacing w:after="0" w:line="178" w:lineRule="exact"/>
        <w:rPr>
          <w:sz w:val="20"/>
          <w:szCs w:val="20"/>
          <w:color w:val="auto"/>
        </w:rPr>
      </w:pPr>
    </w:p>
    <w:p>
      <w:pPr>
        <w:ind w:right="380" w:firstLine="757"/>
        <w:spacing w:after="0" w:line="258" w:lineRule="auto"/>
        <w:tabs>
          <w:tab w:leader="none" w:pos="1181"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Wide Black-Out Periods Applicable to All Company Personnel</w:t>
      </w:r>
      <w:r>
        <w:rPr>
          <w:rFonts w:ascii="Times New Roman" w:cs="Times New Roman" w:eastAsia="Times New Roman" w:hAnsi="Times New Roman"/>
          <w:sz w:val="22"/>
          <w:szCs w:val="22"/>
          <w:color w:val="auto"/>
        </w:rPr>
        <w:t>. All Company personnel and Related Persons are prohibited from trading in any of the Company’s securities during the following periods:</w:t>
      </w:r>
    </w:p>
    <w:p>
      <w:pPr>
        <w:spacing w:after="0" w:line="158" w:lineRule="exact"/>
        <w:rPr>
          <w:rFonts w:ascii="Times New Roman" w:cs="Times New Roman" w:eastAsia="Times New Roman" w:hAnsi="Times New Roman"/>
          <w:sz w:val="22"/>
          <w:szCs w:val="22"/>
          <w:color w:val="auto"/>
        </w:rPr>
      </w:pPr>
    </w:p>
    <w:p>
      <w:pPr>
        <w:ind w:left="1140" w:firstLine="58"/>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176" w:lineRule="exact"/>
        <w:rPr>
          <w:rFonts w:ascii="Times New Roman" w:cs="Times New Roman" w:eastAsia="Times New Roman" w:hAnsi="Times New Roman"/>
          <w:sz w:val="22"/>
          <w:szCs w:val="22"/>
          <w:color w:val="auto"/>
        </w:rPr>
      </w:pPr>
    </w:p>
    <w:p>
      <w:pPr>
        <w:ind w:left="1140" w:right="180" w:firstLine="58"/>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other specified periods when significant developments or announcements are anticipated, as notified by the Policy Administrator.</w:t>
      </w:r>
    </w:p>
    <w:p>
      <w:pPr>
        <w:spacing w:after="0" w:line="158"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21"/>
          <w:szCs w:val="21"/>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 w:cs="Times New Roman" w:eastAsia="Times New Roman" w:hAnsi="Times New Roman"/>
          <w:sz w:val="21"/>
          <w:szCs w:val="21"/>
          <w:i w:val="1"/>
          <w:iCs w:val="1"/>
          <w:color w:val="auto"/>
        </w:rPr>
        <w:t>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course, even during periods when trading is permitted, no one, including persons or entities who do not fall within the definition of Related Persons, should trade in the Company’s securities if he or she possesses material non-public information.</w:t>
      </w:r>
    </w:p>
    <w:p>
      <w:pPr>
        <w:spacing w:after="0" w:line="162" w:lineRule="exact"/>
        <w:rPr>
          <w:sz w:val="20"/>
          <w:szCs w:val="20"/>
          <w:color w:val="auto"/>
        </w:rPr>
      </w:pPr>
    </w:p>
    <w:p>
      <w:pPr>
        <w:ind w:right="80" w:firstLine="757"/>
        <w:spacing w:after="0" w:line="261" w:lineRule="auto"/>
        <w:tabs>
          <w:tab w:leader="none" w:pos="1181"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Black-Out Periods Applicable to the Board of Directors, Senior Management, Financial Team Members and Designated Employees</w:t>
      </w:r>
      <w:r>
        <w:rPr>
          <w:rFonts w:ascii="Times New Roman" w:cs="Times New Roman" w:eastAsia="Times New Roman" w:hAnsi="Times New Roman"/>
          <w:sz w:val="21"/>
          <w:szCs w:val="21"/>
          <w:color w:val="auto"/>
        </w:rPr>
        <w:t>. In addition to being subject to the trading procedures applicable to all Company personnel (above), members of the Company’s Board of Directors, Senior Management, Financial Team Members, Designated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31" w:name="page332"/>
    <w:bookmarkEnd w:id="331"/>
    <w:p>
      <w:pPr>
        <w:ind w:right="100"/>
        <w:spacing w:after="0" w:line="258" w:lineRule="auto"/>
        <w:rPr>
          <w:sz w:val="20"/>
          <w:szCs w:val="20"/>
          <w:color w:val="auto"/>
        </w:rPr>
      </w:pPr>
      <w:r>
        <w:rPr>
          <w:rFonts w:ascii="Times New Roman" w:cs="Times New Roman" w:eastAsia="Times New Roman" w:hAnsi="Times New Roman"/>
          <w:sz w:val="22"/>
          <w:szCs w:val="22"/>
          <w:color w:val="auto"/>
        </w:rPr>
        <w:t>Employees (each as defined below) and Related Persons of such individuals are also subject to additional trading procedures and restrictions during the following periods:</w:t>
      </w:r>
    </w:p>
    <w:p>
      <w:pPr>
        <w:spacing w:after="0" w:line="158" w:lineRule="exact"/>
        <w:rPr>
          <w:sz w:val="20"/>
          <w:szCs w:val="20"/>
          <w:color w:val="auto"/>
        </w:rPr>
      </w:pPr>
    </w:p>
    <w:p>
      <w:pPr>
        <w:ind w:left="1140" w:right="80" w:firstLine="58"/>
        <w:spacing w:after="0" w:line="244" w:lineRule="auto"/>
        <w:rPr>
          <w:sz w:val="20"/>
          <w:szCs w:val="20"/>
          <w:color w:val="auto"/>
        </w:rPr>
      </w:pPr>
      <w:r>
        <w:rPr>
          <w:rFonts w:ascii="Times New Roman" w:cs="Times New Roman" w:eastAsia="Times New Roman" w:hAnsi="Times New Roman"/>
          <w:sz w:val="22"/>
          <w:szCs w:val="22"/>
          <w:color w:val="auto"/>
        </w:rPr>
        <w:t>the periods from 7 days prior to the close of each fiscal quarter until the beginning of the second business day after the release of the Company’s financial results for each quarter and, in the case of the fourth quarter, financial results for the year end; and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other periods as determined by the Company.</w:t>
      </w:r>
    </w:p>
    <w:p>
      <w:pPr>
        <w:spacing w:after="0" w:line="20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21"/>
          <w:szCs w:val="21"/>
          <w:color w:val="auto"/>
        </w:rPr>
        <w:t>The following members of management constitute the “</w:t>
      </w:r>
      <w:r>
        <w:rPr>
          <w:rFonts w:ascii="Times New Roman" w:cs="Times New Roman" w:eastAsia="Times New Roman" w:hAnsi="Times New Roman"/>
          <w:sz w:val="21"/>
          <w:szCs w:val="21"/>
          <w:u w:val="single" w:color="auto"/>
          <w:color w:val="auto"/>
        </w:rPr>
        <w:t>Senior Management</w:t>
      </w:r>
      <w:r>
        <w:rPr>
          <w:rFonts w:ascii="Times New Roman" w:cs="Times New Roman" w:eastAsia="Times New Roman" w:hAnsi="Times New Roman"/>
          <w:sz w:val="21"/>
          <w:szCs w:val="21"/>
          <w:color w:val="auto"/>
        </w:rPr>
        <w:t xml:space="preserve">” of the Company: all Executive Officers, as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which list shall be amended from time to time to reflect the then-current group of such individuals.</w:t>
      </w:r>
    </w:p>
    <w:p>
      <w:pPr>
        <w:spacing w:after="0" w:line="13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individuals constitute the “</w:t>
      </w:r>
      <w:r>
        <w:rPr>
          <w:rFonts w:ascii="Times New Roman" w:cs="Times New Roman" w:eastAsia="Times New Roman" w:hAnsi="Times New Roman"/>
          <w:sz w:val="22"/>
          <w:szCs w:val="22"/>
          <w:u w:val="single" w:color="auto"/>
          <w:color w:val="auto"/>
        </w:rPr>
        <w:t>Financial Team Members</w:t>
      </w:r>
      <w:r>
        <w:rPr>
          <w:rFonts w:ascii="Times New Roman" w:cs="Times New Roman" w:eastAsia="Times New Roman" w:hAnsi="Times New Roman"/>
          <w:sz w:val="22"/>
          <w:szCs w:val="22"/>
          <w:color w:val="auto"/>
        </w:rPr>
        <w:t>” of the Company: all members of the Company’s financial team.</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individuals constitute other “</w:t>
      </w:r>
      <w:r>
        <w:rPr>
          <w:rFonts w:ascii="Times New Roman" w:cs="Times New Roman" w:eastAsia="Times New Roman" w:hAnsi="Times New Roman"/>
          <w:sz w:val="22"/>
          <w:szCs w:val="22"/>
          <w:u w:val="single" w:color="auto"/>
          <w:color w:val="auto"/>
        </w:rPr>
        <w:t>Designated Employees</w:t>
      </w:r>
      <w:r>
        <w:rPr>
          <w:rFonts w:ascii="Times New Roman" w:cs="Times New Roman" w:eastAsia="Times New Roman" w:hAnsi="Times New Roman"/>
          <w:sz w:val="22"/>
          <w:szCs w:val="22"/>
          <w:color w:val="auto"/>
        </w:rPr>
        <w:t xml:space="preserve">” of the Company: all Company personnel, as listed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which list shall be amended from time to time to reflect the then-current group of such individuals.</w:t>
      </w:r>
    </w:p>
    <w:p>
      <w:pPr>
        <w:spacing w:after="0" w:line="158" w:lineRule="exact"/>
        <w:rPr>
          <w:sz w:val="20"/>
          <w:szCs w:val="20"/>
          <w:color w:val="auto"/>
        </w:rPr>
      </w:pPr>
    </w:p>
    <w:p>
      <w:pPr>
        <w:ind w:right="680" w:firstLine="749"/>
        <w:spacing w:after="0" w:line="244" w:lineRule="auto"/>
        <w:rPr>
          <w:sz w:val="20"/>
          <w:szCs w:val="20"/>
          <w:color w:val="auto"/>
        </w:rPr>
      </w:pPr>
      <w:r>
        <w:rPr>
          <w:rFonts w:ascii="Times New Roman" w:cs="Times New Roman" w:eastAsia="Times New Roman" w:hAnsi="Times New Roman"/>
          <w:sz w:val="22"/>
          <w:szCs w:val="22"/>
          <w:color w:val="auto"/>
        </w:rPr>
        <w:t>The Policy Administrator may, from time to time, amend the list of and/or designate other employees as Senior Management, Financial Team Members or Designated Employees, in which case the Policy Administrator shall notify the affected individuals.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Exceptions for Certain Transactions </w:t>
      </w:r>
      <w:r>
        <w:rPr>
          <w:rFonts w:ascii="Times New Roman" w:cs="Times New Roman" w:eastAsia="Times New Roman" w:hAnsi="Times New Roman"/>
          <w:sz w:val="22"/>
          <w:szCs w:val="22"/>
          <w:color w:val="auto"/>
        </w:rPr>
        <w:t>TC "Exceptions for Certain Transactions" \f C \l "2"</w:t>
      </w:r>
      <w:r>
        <w:rPr>
          <w:rFonts w:ascii="Times New Roman" w:cs="Times New Roman" w:eastAsia="Times New Roman" w:hAnsi="Times New Roman"/>
          <w:sz w:val="22"/>
          <w:szCs w:val="22"/>
          <w:b w:val="1"/>
          <w:bCs w:val="1"/>
          <w:i w:val="1"/>
          <w:iCs w:val="1"/>
          <w:color w:val="auto"/>
        </w:rPr>
        <w:t xml:space="preserve"> .</w:t>
      </w:r>
    </w:p>
    <w:p>
      <w:pPr>
        <w:spacing w:after="0" w:line="208" w:lineRule="exact"/>
        <w:rPr>
          <w:sz w:val="20"/>
          <w:szCs w:val="20"/>
          <w:color w:val="auto"/>
        </w:rPr>
      </w:pPr>
    </w:p>
    <w:p>
      <w:pPr>
        <w:ind w:right="80" w:firstLine="757"/>
        <w:spacing w:after="0" w:line="246" w:lineRule="auto"/>
        <w:tabs>
          <w:tab w:leader="none" w:pos="1181"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Gifts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171" w:lineRule="exact"/>
        <w:rPr>
          <w:rFonts w:ascii="Times New Roman" w:cs="Times New Roman" w:eastAsia="Times New Roman" w:hAnsi="Times New Roman"/>
          <w:sz w:val="22"/>
          <w:szCs w:val="22"/>
          <w:color w:val="auto"/>
        </w:rPr>
      </w:pPr>
    </w:p>
    <w:p>
      <w:pPr>
        <w:ind w:right="500" w:firstLine="757"/>
        <w:spacing w:after="0" w:line="258" w:lineRule="auto"/>
        <w:tabs>
          <w:tab w:leader="none" w:pos="1181"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Funds</w:t>
      </w:r>
      <w:r>
        <w:rPr>
          <w:rFonts w:ascii="Times New Roman" w:cs="Times New Roman" w:eastAsia="Times New Roman" w:hAnsi="Times New Roman"/>
          <w:sz w:val="22"/>
          <w:szCs w:val="22"/>
          <w:color w:val="auto"/>
        </w:rPr>
        <w:t>. Transactions in mutual funds that are invested in the Company’s securities are not transactions subject to this Policy.</w:t>
      </w:r>
    </w:p>
    <w:p>
      <w:pPr>
        <w:spacing w:after="0" w:line="158" w:lineRule="exact"/>
        <w:rPr>
          <w:rFonts w:ascii="Times New Roman" w:cs="Times New Roman" w:eastAsia="Times New Roman" w:hAnsi="Times New Roman"/>
          <w:sz w:val="22"/>
          <w:szCs w:val="22"/>
          <w:color w:val="auto"/>
        </w:rPr>
      </w:pPr>
    </w:p>
    <w:p>
      <w:pPr>
        <w:ind w:right="120" w:firstLine="757"/>
        <w:spacing w:after="0" w:line="258" w:lineRule="auto"/>
        <w:tabs>
          <w:tab w:leader="none" w:pos="1181"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Involving Company Equity Plans</w:t>
      </w:r>
      <w:r>
        <w:rPr>
          <w:rFonts w:ascii="Times New Roman" w:cs="Times New Roman" w:eastAsia="Times New Roman" w:hAnsi="Times New Roman"/>
          <w:sz w:val="22"/>
          <w:szCs w:val="22"/>
          <w:color w:val="auto"/>
        </w:rPr>
        <w:t>. Except as otherwise noted below, this Policy does not apply to the following transactions:</w:t>
      </w:r>
    </w:p>
    <w:p>
      <w:pPr>
        <w:spacing w:after="0" w:line="154" w:lineRule="exact"/>
        <w:rPr>
          <w:rFonts w:ascii="Times New Roman" w:cs="Times New Roman" w:eastAsia="Times New Roman" w:hAnsi="Times New Roman"/>
          <w:sz w:val="22"/>
          <w:szCs w:val="22"/>
          <w:color w:val="auto"/>
        </w:rPr>
      </w:pPr>
    </w:p>
    <w:p>
      <w:pPr>
        <w:ind w:left="1140" w:firstLine="58"/>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 does not apply to the exercise of an employee stock option acquired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175" w:lineRule="exact"/>
        <w:rPr>
          <w:rFonts w:ascii="Times New Roman" w:cs="Times New Roman" w:eastAsia="Times New Roman" w:hAnsi="Times New Roman"/>
          <w:sz w:val="22"/>
          <w:szCs w:val="22"/>
          <w:color w:val="auto"/>
        </w:rPr>
      </w:pPr>
    </w:p>
    <w:p>
      <w:pPr>
        <w:ind w:left="1140" w:right="180" w:firstLine="58"/>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Restricted Stock Awards and Restricted Stock Unit Awards. </w:t>
      </w:r>
      <w:r>
        <w:rPr>
          <w:rFonts w:ascii="Times New Roman" w:cs="Times New Roman" w:eastAsia="Times New Roman" w:hAnsi="Times New Roman"/>
          <w:sz w:val="22"/>
          <w:szCs w:val="22"/>
          <w:color w:val="auto"/>
        </w:rPr>
        <w:t>This Policy does not apply to the vesting of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restricted stock units, or the exercise of a tax</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2" w:name="page333"/>
    <w:bookmarkEnd w:id="332"/>
    <w:p>
      <w:pPr>
        <w:ind w:left="1140" w:right="280"/>
        <w:spacing w:after="0" w:line="244" w:lineRule="auto"/>
        <w:rPr>
          <w:sz w:val="20"/>
          <w:szCs w:val="20"/>
          <w:color w:val="auto"/>
        </w:rPr>
      </w:pPr>
      <w:r>
        <w:rPr>
          <w:rFonts w:ascii="Times New Roman" w:cs="Times New Roman" w:eastAsia="Times New Roman" w:hAnsi="Times New Roman"/>
          <w:sz w:val="22"/>
          <w:szCs w:val="22"/>
          <w:color w:val="auto"/>
        </w:rPr>
        <w:t>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169" w:lineRule="exact"/>
        <w:rPr>
          <w:sz w:val="20"/>
          <w:szCs w:val="20"/>
          <w:color w:val="auto"/>
        </w:rPr>
      </w:pPr>
    </w:p>
    <w:p>
      <w:pPr>
        <w:ind w:left="1140" w:right="60" w:firstLine="5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Other Transactions with the Company. </w:t>
      </w:r>
      <w:r>
        <w:rPr>
          <w:rFonts w:ascii="Times New Roman" w:cs="Times New Roman" w:eastAsia="Times New Roman" w:hAnsi="Times New Roman"/>
          <w:sz w:val="22"/>
          <w:szCs w:val="22"/>
          <w:color w:val="auto"/>
        </w:rPr>
        <w:t>Any other purchase of the Company’s securities from the Company or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Company’s securities to the Company are not subject to this Policy.</w:t>
      </w:r>
    </w:p>
    <w:p>
      <w:pPr>
        <w:spacing w:after="0" w:line="153" w:lineRule="exact"/>
        <w:rPr>
          <w:sz w:val="20"/>
          <w:szCs w:val="20"/>
          <w:color w:val="auto"/>
        </w:rPr>
      </w:pPr>
    </w:p>
    <w:p>
      <w:pPr>
        <w:ind w:right="40" w:firstLine="757"/>
        <w:spacing w:after="0" w:line="233" w:lineRule="auto"/>
        <w:tabs>
          <w:tab w:leader="none" w:pos="1181"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Trading Plans</w:t>
      </w:r>
      <w:r>
        <w:rPr>
          <w:rFonts w:ascii="Times New Roman" w:cs="Times New Roman" w:eastAsia="Times New Roman" w:hAnsi="Times New Roman"/>
          <w:sz w:val="22"/>
          <w:szCs w:val="22"/>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 After a Trading Plan is approved, you must wait for a cooling-off period of reasonable length (barring unusual circumstances, 30 days is deemed to be reasonable) before the first trade is made under the Trading Plan.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Company personnel seeking to establish, modify or cancel a Trading Plan should contact the Policy Administrator.</w:t>
      </w:r>
    </w:p>
    <w:p>
      <w:pPr>
        <w:spacing w:after="0" w:line="174"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Pre-Clearance of All Acquisitions, Sales and Other Transfers by Certain Company Personnel </w:t>
      </w:r>
      <w:r>
        <w:rPr>
          <w:rFonts w:ascii="Times New Roman" w:cs="Times New Roman" w:eastAsia="Times New Roman" w:hAnsi="Times New Roman"/>
          <w:sz w:val="22"/>
          <w:szCs w:val="22"/>
          <w:color w:val="auto"/>
        </w:rPr>
        <w:t>TC "Pre-Clearance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All Acquisitions, Sales and Other Transfers by Certain Company Personnel" \f C \l "2"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In order to ensure compliance with this Policy, all transactions in the Company’s securities (including acquisitions, sales, gifts and other transfers, whether or not for value), including the execution of Trading Plans (as defined below), by members of the Company’s Board of Directors, Senior Management, 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third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3" w:name="page334"/>
    <w:bookmarkEnd w:id="333"/>
    <w:p>
      <w:pPr>
        <w:ind w:right="480"/>
        <w:spacing w:after="0" w:line="258" w:lineRule="auto"/>
        <w:rPr>
          <w:sz w:val="20"/>
          <w:szCs w:val="20"/>
          <w:color w:val="auto"/>
        </w:rPr>
      </w:pPr>
      <w:r>
        <w:rPr>
          <w:rFonts w:ascii="Times New Roman" w:cs="Times New Roman" w:eastAsia="Times New Roman" w:hAnsi="Times New Roman"/>
          <w:sz w:val="22"/>
          <w:szCs w:val="22"/>
          <w:color w:val="auto"/>
        </w:rPr>
        <w:t xml:space="preserve">responsibility for determining whether you are in possession of material non-public information rests with you, as discussed below in </w:t>
      </w:r>
      <w:r>
        <w:rPr>
          <w:rFonts w:ascii="Times New Roman" w:cs="Times New Roman" w:eastAsia="Times New Roman" w:hAnsi="Times New Roman"/>
          <w:sz w:val="22"/>
          <w:szCs w:val="22"/>
          <w:u w:val="single" w:color="auto"/>
          <w:color w:val="auto"/>
        </w:rPr>
        <w:t>Section 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Employees of the Company who are not Directors, members of Senior Management, Financial Team Members or Designated Employees are required to pre-clear transactions in the Company’s securities in the same manner as set forth above. Such employees are not required to notify the Policy Administrator following execution of the transaction.</w:t>
      </w:r>
    </w:p>
    <w:p>
      <w:pPr>
        <w:spacing w:after="0" w:line="16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Please note that pre-clearance does not provide Company personnel with immunity from investigation or suit, for which it is the responsibility of the individual to comply with the federal securities regulations.</w:t>
      </w:r>
    </w:p>
    <w:p>
      <w:pPr>
        <w:spacing w:after="0" w:line="150" w:lineRule="exact"/>
        <w:rPr>
          <w:sz w:val="20"/>
          <w:szCs w:val="20"/>
          <w:color w:val="auto"/>
        </w:rPr>
      </w:pPr>
    </w:p>
    <w:p>
      <w:pPr>
        <w:ind w:left="440" w:hanging="432"/>
        <w:spacing w:after="0"/>
        <w:tabs>
          <w:tab w:leader="none" w:pos="440" w:val="left"/>
        </w:tabs>
        <w:numPr>
          <w:ilvl w:val="0"/>
          <w:numId w:val="3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210" w:lineRule="exact"/>
        <w:rPr>
          <w:sz w:val="20"/>
          <w:szCs w:val="20"/>
          <w:color w:val="auto"/>
        </w:rPr>
      </w:pPr>
    </w:p>
    <w:p>
      <w:pPr>
        <w:ind w:right="1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Persons subject to this Policy have ethical and legal obligations to maintain the confidentiality of information about the Company and to not engage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w:t>
      </w:r>
      <w:r>
        <w:rPr>
          <w:rFonts w:ascii="Times New Roman" w:cs="Times New Roman" w:eastAsia="Times New Roman" w:hAnsi="Times New Roman"/>
          <w:sz w:val="22"/>
          <w:szCs w:val="22"/>
          <w:u w:val="single" w:color="auto"/>
          <w:color w:val="auto"/>
        </w:rPr>
        <w:t>Section III</w:t>
      </w:r>
      <w:r>
        <w:rPr>
          <w:rFonts w:ascii="Times New Roman" w:cs="Times New Roman" w:eastAsia="Times New Roman" w:hAnsi="Times New Roman"/>
          <w:sz w:val="22"/>
          <w:szCs w:val="22"/>
          <w:color w:val="auto"/>
        </w:rPr>
        <w:t xml:space="preserve"> above.</w:t>
      </w:r>
    </w:p>
    <w:p>
      <w:pPr>
        <w:spacing w:after="0" w:line="177"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Tipping Information to Others. </w:t>
      </w:r>
      <w:r>
        <w:rPr>
          <w:rFonts w:ascii="Times New Roman" w:cs="Times New Roman" w:eastAsia="Times New Roman" w:hAnsi="Times New Roman"/>
          <w:sz w:val="22"/>
          <w:szCs w:val="22"/>
          <w:color w:val="auto"/>
        </w:rPr>
        <w:t>Company personnel must not disclose non-public information about the Company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others outside the Company who do not have an obligation to maintain the confidentiality of such information. If the outsider trades on such information, penalties for insider trading may apply in these situations whether or not you derive any monetary benefit from the other person’s trading activities. Material non-public information is often inadvertently disclosed or overheard in casual, social conversations. Please take care to avoid such disclosures.</w:t>
      </w:r>
    </w:p>
    <w:p>
      <w:pPr>
        <w:spacing w:after="0" w:line="171"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Prevention of Insider Trading by Others. </w:t>
      </w:r>
      <w:r>
        <w:rPr>
          <w:rFonts w:ascii="Times New Roman" w:cs="Times New Roman" w:eastAsia="Times New Roman" w:hAnsi="Times New Roman"/>
          <w:sz w:val="22"/>
          <w:szCs w:val="22"/>
          <w:color w:val="auto"/>
        </w:rPr>
        <w:t>If you become aware of a potential insider trading violation, you must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immediately 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71"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Confidentiality. </w:t>
      </w:r>
      <w:r>
        <w:rPr>
          <w:rFonts w:ascii="Times New Roman" w:cs="Times New Roman" w:eastAsia="Times New Roman" w:hAnsi="Times New Roman"/>
          <w:sz w:val="22"/>
          <w:szCs w:val="22"/>
          <w:color w:val="auto"/>
        </w:rPr>
        <w:t>Serious problems could be caused for the Company by the unauthorized disclosure of internal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34" w:name="page335"/>
    <w:bookmarkEnd w:id="334"/>
    <w:p>
      <w:pPr>
        <w:spacing w:after="0" w:line="235" w:lineRule="auto"/>
        <w:rPr>
          <w:sz w:val="20"/>
          <w:szCs w:val="20"/>
          <w:color w:val="auto"/>
        </w:rPr>
      </w:pPr>
      <w:r>
        <w:rPr>
          <w:rFonts w:ascii="Times New Roman" w:cs="Times New Roman" w:eastAsia="Times New Roman" w:hAnsi="Times New Roman"/>
          <w:sz w:val="22"/>
          <w:szCs w:val="22"/>
          <w:color w:val="auto"/>
        </w:rPr>
        <w:t>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Hugh Griffith, the Company’s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VI. </w:t>
      </w:r>
      <w:r>
        <w:rPr>
          <w:rFonts w:ascii="Times New Roman" w:cs="Times New Roman" w:eastAsia="Times New Roman" w:hAnsi="Times New Roman"/>
          <w:sz w:val="22"/>
          <w:szCs w:val="22"/>
          <w:b w:val="1"/>
          <w:bCs w:val="1"/>
          <w:u w:val="single" w:color="auto"/>
          <w:color w:val="auto"/>
        </w:rPr>
        <w:t>Additional Prohibited Transactions</w:t>
      </w:r>
    </w:p>
    <w:p>
      <w:pPr>
        <w:spacing w:after="0" w:line="210"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Because we believe it is generally improper and inappropriate for Company personnel to engage in short-term or speculative transactions involving the Company’s securities, it is our policy that Company personnel and Related Persons not engage in any of the following activities, except in each case in limited circumstances with prior approval of the Policy Administrator:</w:t>
      </w:r>
    </w:p>
    <w:p>
      <w:pPr>
        <w:spacing w:after="0" w:line="180" w:lineRule="exact"/>
        <w:rPr>
          <w:sz w:val="20"/>
          <w:szCs w:val="20"/>
          <w:color w:val="auto"/>
        </w:rPr>
      </w:pPr>
    </w:p>
    <w:p>
      <w:pPr>
        <w:ind w:left="1140" w:firstLine="58"/>
        <w:spacing w:after="0" w:line="258" w:lineRule="auto"/>
        <w:rPr>
          <w:sz w:val="20"/>
          <w:szCs w:val="20"/>
          <w:color w:val="auto"/>
        </w:rPr>
      </w:pPr>
      <w:r>
        <w:rPr>
          <w:rFonts w:ascii="Times New Roman" w:cs="Times New Roman" w:eastAsia="Times New Roman" w:hAnsi="Times New Roman"/>
          <w:sz w:val="22"/>
          <w:szCs w:val="22"/>
          <w:color w:val="auto"/>
        </w:rPr>
        <w:t>trading in the Company’s securities on a short-term basis. Any shares of Company common stock purchased in the open market must be held for a minimum of six months and ideally longer;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short sales of the Company’s securities;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use of the Company’s securities to secure a margin or other loan;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transactions in straddles, collars or other similar risk reduction or hedging devices; and</w:t>
      </w:r>
    </w:p>
    <w:p>
      <w:pPr>
        <w:spacing w:after="0" w:line="206" w:lineRule="exact"/>
        <w:rPr>
          <w:sz w:val="20"/>
          <w:szCs w:val="20"/>
          <w:color w:val="auto"/>
        </w:rPr>
      </w:pPr>
    </w:p>
    <w:p>
      <w:pPr>
        <w:ind w:left="1140" w:right="40" w:firstLine="58"/>
        <w:spacing w:after="0" w:line="258" w:lineRule="auto"/>
        <w:rPr>
          <w:sz w:val="20"/>
          <w:szCs w:val="20"/>
          <w:color w:val="auto"/>
        </w:rPr>
      </w:pPr>
      <w:r>
        <w:rPr>
          <w:rFonts w:ascii="Times New Roman" w:cs="Times New Roman" w:eastAsia="Times New Roman" w:hAnsi="Times New Roman"/>
          <w:sz w:val="22"/>
          <w:szCs w:val="22"/>
          <w:color w:val="auto"/>
        </w:rPr>
        <w:t>transactions in publicly-traded options relating to the Company’s securities (i.e., options that are not granted by the Company).</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35" w:name="page336"/>
    <w:bookmarkEnd w:id="335"/>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VII. </w:t>
      </w:r>
      <w:r>
        <w:rPr>
          <w:rFonts w:ascii="Times New Roman" w:cs="Times New Roman" w:eastAsia="Times New Roman" w:hAnsi="Times New Roman"/>
          <w:sz w:val="22"/>
          <w:szCs w:val="22"/>
          <w:b w:val="1"/>
          <w:bCs w:val="1"/>
          <w:u w:val="single" w:color="auto"/>
          <w:color w:val="auto"/>
        </w:rPr>
        <w:t>Summary of Insider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Dealing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provisions under the Criminal Justice Act 1993</w:t>
      </w:r>
    </w:p>
    <w:p>
      <w:pPr>
        <w:spacing w:after="0" w:line="212"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In addition to federal securities laws and the rules of the SEC on insider trading, Company personnel should also be aware of the insider </w:t>
      </w:r>
      <w:r>
        <w:rPr>
          <w:rFonts w:ascii="Times New Roman" w:cs="Times New Roman" w:eastAsia="Times New Roman" w:hAnsi="Times New Roman"/>
          <w:sz w:val="22"/>
          <w:szCs w:val="22"/>
          <w:i w:val="1"/>
          <w:iCs w:val="1"/>
          <w:color w:val="auto"/>
        </w:rPr>
        <w:t>dealing</w:t>
      </w:r>
      <w:r>
        <w:rPr>
          <w:rFonts w:ascii="Times New Roman" w:cs="Times New Roman" w:eastAsia="Times New Roman" w:hAnsi="Times New Roman"/>
          <w:sz w:val="22"/>
          <w:szCs w:val="22"/>
          <w:color w:val="auto"/>
        </w:rPr>
        <w:t xml:space="preserve"> provisions of the U.K. Criminal Justice Act 1993 (“</w:t>
      </w:r>
      <w:r>
        <w:rPr>
          <w:rFonts w:ascii="Times New Roman" w:cs="Times New Roman" w:eastAsia="Times New Roman" w:hAnsi="Times New Roman"/>
          <w:sz w:val="22"/>
          <w:szCs w:val="22"/>
          <w:b w:val="1"/>
          <w:bCs w:val="1"/>
          <w:color w:val="auto"/>
        </w:rPr>
        <w:t>CJA</w:t>
      </w:r>
      <w:r>
        <w:rPr>
          <w:rFonts w:ascii="Times New Roman" w:cs="Times New Roman" w:eastAsia="Times New Roman" w:hAnsi="Times New Roman"/>
          <w:sz w:val="22"/>
          <w:szCs w:val="22"/>
          <w:color w:val="auto"/>
        </w:rPr>
        <w:t>”) which may apply in circumstances where the relevant behavior has the requisite connection with the U.K.</w:t>
      </w:r>
    </w:p>
    <w:p>
      <w:pPr>
        <w:spacing w:after="0" w:line="173" w:lineRule="exact"/>
        <w:rPr>
          <w:sz w:val="20"/>
          <w:szCs w:val="20"/>
          <w:color w:val="auto"/>
        </w:rPr>
      </w:pPr>
    </w:p>
    <w:p>
      <w:pPr>
        <w:ind w:right="260" w:firstLine="803"/>
        <w:spacing w:after="0" w:line="251" w:lineRule="auto"/>
        <w:rPr>
          <w:sz w:val="20"/>
          <w:szCs w:val="20"/>
          <w:color w:val="auto"/>
        </w:rPr>
      </w:pPr>
      <w:r>
        <w:rPr>
          <w:rFonts w:ascii="Times New Roman" w:cs="Times New Roman" w:eastAsia="Times New Roman" w:hAnsi="Times New Roman"/>
          <w:sz w:val="21"/>
          <w:szCs w:val="21"/>
          <w:color w:val="auto"/>
        </w:rPr>
        <w:t>Under the CJA, it is a criminal offence for a person, who has "inside information" as an "insider", to deal in securities which are "price-affected securities" in relation to that information, or to encourage another person to deal. It is also a criminal offence for an insider to disclose the information to another person other than in the proper performance of his or her employment, office or profession. The dealing in question must either be on a "regulated market", or it must involve a "professional intermediary". Insider dealing is punishable with imprisonment of up to seven years or a fine or both.</w:t>
      </w:r>
    </w:p>
    <w:p>
      <w:pPr>
        <w:spacing w:after="0" w:line="168"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Inside information is specific information relating to particular securities or to a particular issuer of securities or issuers of securities which has not been made public and if it were would be likely to have a significant effect on the price or value of any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insider is a person who knowingly has inside information from an inside source, that is if:</w:t>
      </w:r>
    </w:p>
    <w:p>
      <w:pPr>
        <w:spacing w:after="0" w:line="233" w:lineRule="exact"/>
        <w:rPr>
          <w:sz w:val="20"/>
          <w:szCs w:val="20"/>
          <w:color w:val="auto"/>
        </w:rPr>
      </w:pPr>
    </w:p>
    <w:p>
      <w:pPr>
        <w:ind w:right="400" w:firstLine="8"/>
        <w:spacing w:after="0" w:line="258" w:lineRule="auto"/>
        <w:tabs>
          <w:tab w:leader="none" w:pos="432"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the information through being a director, employee or shareholder of an issuer (not necessarily of the same issuer to which the information relates);</w:t>
      </w:r>
    </w:p>
    <w:p>
      <w:pPr>
        <w:spacing w:after="0" w:line="18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it through having access to the information by virtue of his or her employment, office or profession; or</w:t>
      </w:r>
    </w:p>
    <w:p>
      <w:pPr>
        <w:spacing w:after="0" w:line="233"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or indirect source of the information is a person falling within one of the above.</w:t>
      </w: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2"/>
          <w:szCs w:val="22"/>
          <w:b w:val="1"/>
          <w:bCs w:val="1"/>
          <w:u w:val="single" w:color="auto"/>
          <w:color w:val="auto"/>
        </w:rPr>
        <w:t>Post-Termination Transactions</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IX. </w:t>
      </w:r>
      <w:r>
        <w:rPr>
          <w:rFonts w:ascii="Times New Roman" w:cs="Times New Roman" w:eastAsia="Times New Roman" w:hAnsi="Times New Roman"/>
          <w:sz w:val="22"/>
          <w:szCs w:val="22"/>
          <w:b w:val="1"/>
          <w:bCs w:val="1"/>
          <w:u w:val="single" w:color="auto"/>
          <w:color w:val="auto"/>
        </w:rPr>
        <w:t>Company Assistance</w:t>
      </w:r>
    </w:p>
    <w:p>
      <w:pPr>
        <w:spacing w:after="0" w:line="210"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Any person who has any questions about specific transactions or this Policy in general may obtain additional guidance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397" w:lineRule="exact"/>
        <w:rPr>
          <w:sz w:val="20"/>
          <w:szCs w:val="20"/>
          <w:color w:val="auto"/>
        </w:rPr>
      </w:pPr>
    </w:p>
    <w:p>
      <w:pPr>
        <w:ind w:left="440" w:hanging="432"/>
        <w:spacing w:after="0"/>
        <w:tabs>
          <w:tab w:leader="none" w:pos="440" w:val="left"/>
        </w:tabs>
        <w:numPr>
          <w:ilvl w:val="0"/>
          <w:numId w:val="3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Certifications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15 December 2025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7" w:name="page338"/>
    <w:bookmarkEnd w:id="337"/>
    <w:p>
      <w:pPr>
        <w:spacing w:after="0" w:line="1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As of 15 December 2025:</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“Senior Management”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Executive Officers, including:</w:t>
      </w:r>
    </w:p>
    <w:p>
      <w:pPr>
        <w:spacing w:after="0" w:line="233" w:lineRule="exact"/>
        <w:rPr>
          <w:sz w:val="20"/>
          <w:szCs w:val="20"/>
          <w:color w:val="auto"/>
        </w:rPr>
      </w:pPr>
    </w:p>
    <w:p>
      <w:pPr>
        <w:ind w:left="820" w:hanging="425"/>
        <w:spacing w:after="0"/>
        <w:tabs>
          <w:tab w:leader="none" w:pos="82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Hugh S. Griffith, Chief Executive Officer</w:t>
      </w:r>
    </w:p>
    <w:p>
      <w:pPr>
        <w:spacing w:after="0" w:line="233"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Jeffrey Bloss, Chief Medical Officer</w:t>
      </w:r>
    </w:p>
    <w:p>
      <w:pPr>
        <w:spacing w:after="0" w:line="233"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Harrison, Head of Translational Studies</w:t>
      </w:r>
    </w:p>
    <w:p>
      <w:pPr>
        <w:spacing w:after="0" w:line="233" w:lineRule="exact"/>
        <w:rPr>
          <w:rFonts w:ascii="Times New Roman" w:cs="Times New Roman" w:eastAsia="Times New Roman" w:hAnsi="Times New Roman"/>
          <w:sz w:val="22"/>
          <w:szCs w:val="22"/>
          <w:color w:val="auto"/>
        </w:rPr>
      </w:pPr>
    </w:p>
    <w:p>
      <w:pPr>
        <w:ind w:left="820" w:hanging="425"/>
        <w:spacing w:after="0"/>
        <w:tabs>
          <w:tab w:leader="none" w:pos="82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Ian Webster,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“Financial Team Members”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members of the Company’s financial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142240</wp:posOffset>
            </wp:positionV>
            <wp:extent cx="342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“Designated Employees”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employees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38" w:name="page339"/>
    <w:bookmarkEnd w:id="338"/>
    <w:p>
      <w:pPr>
        <w:jc w:val="center"/>
        <w:ind w:right="-63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Under Insider Trading Policy</w:t>
      </w:r>
    </w:p>
    <w:p>
      <w:pPr>
        <w:spacing w:after="0" w:line="18"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The undersigned hereby certifies that he/she has read and understands, and agrees to comply with, the Company’s Insider Trading Policy, a copy of which was distributed with this Certification.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 Signature __________________________</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1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04" w:right="979" w:bottom="1440" w:gutter="0" w:footer="0" w:header="0"/>
        </w:sectPr>
      </w:pPr>
    </w:p>
    <w:bookmarkStart w:id="339" w:name="page340"/>
    <w:bookmarkEnd w:id="3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F6384"/>
    <w:multiLevelType w:val="hybridMultilevel"/>
    <w:lvl w:ilvl="0">
      <w:lvlJc w:val="left"/>
      <w:lvlText w:val="☐"/>
      <w:numFmt w:val="bullet"/>
      <w:start w:val="1"/>
    </w:lvl>
  </w:abstractNum>
  <w:abstractNum w:abstractNumId="1">
    <w:nsid w:val="2B4B8B53"/>
    <w:multiLevelType w:val="hybridMultilevel"/>
    <w:lvl w:ilvl="0">
      <w:lvlJc w:val="left"/>
      <w:lvlText w:val="☒"/>
      <w:numFmt w:val="bullet"/>
      <w:start w:val="1"/>
    </w:lvl>
  </w:abstractNum>
  <w:abstractNum w:abstractNumId="2">
    <w:nsid w:val="72E3413A"/>
    <w:multiLevelType w:val="hybridMultilevel"/>
    <w:lvl w:ilvl="0">
      <w:lvlJc w:val="left"/>
      <w:lvlText w:val="☐"/>
      <w:numFmt w:val="bullet"/>
      <w:start w:val="1"/>
    </w:lvl>
  </w:abstractNum>
  <w:abstractNum w:abstractNumId="3">
    <w:nsid w:val="116AE494"/>
    <w:multiLevelType w:val="hybridMultilevel"/>
    <w:lvl w:ilvl="0">
      <w:lvlJc w:val="left"/>
      <w:lvlText w:val="†"/>
      <w:numFmt w:val="bullet"/>
      <w:start w:val="1"/>
    </w:lvl>
  </w:abstractNum>
  <w:abstractNum w:abstractNumId="4">
    <w:nsid w:val="3494B2FB"/>
    <w:multiLevelType w:val="hybridMultilevel"/>
    <w:lvl w:ilvl="0">
      <w:lvlJc w:val="left"/>
      <w:lvlText w:val="•"/>
      <w:numFmt w:val="bullet"/>
      <w:start w:val="1"/>
    </w:lvl>
  </w:abstractNum>
  <w:abstractNum w:abstractNumId="5">
    <w:nsid w:val="B13A31"/>
    <w:multiLevelType w:val="hybridMultilevel"/>
    <w:lvl w:ilvl="0">
      <w:lvlJc w:val="left"/>
      <w:lvlText w:val="%1."/>
      <w:numFmt w:val="upperLetter"/>
      <w:start w:val="1"/>
    </w:lvl>
  </w:abstractNum>
  <w:abstractNum w:abstractNumId="6">
    <w:nsid w:val="64429599"/>
    <w:multiLevelType w:val="hybridMultilevel"/>
    <w:lvl w:ilvl="0">
      <w:lvlJc w:val="left"/>
      <w:lvlText w:val="•"/>
      <w:numFmt w:val="bullet"/>
      <w:start w:val="1"/>
    </w:lvl>
  </w:abstractNum>
  <w:abstractNum w:abstractNumId="7">
    <w:nsid w:val="631F1690"/>
    <w:multiLevelType w:val="hybridMultilevel"/>
    <w:lvl w:ilvl="0">
      <w:lvlJc w:val="left"/>
      <w:lvlText w:val="•"/>
      <w:numFmt w:val="bullet"/>
      <w:start w:val="1"/>
    </w:lvl>
  </w:abstractNum>
  <w:abstractNum w:abstractNumId="8">
    <w:nsid w:val="25973E32"/>
    <w:multiLevelType w:val="hybridMultilevel"/>
    <w:lvl w:ilvl="0">
      <w:lvlJc w:val="left"/>
      <w:lvlText w:val="•"/>
      <w:numFmt w:val="bullet"/>
      <w:start w:val="1"/>
    </w:lvl>
  </w:abstractNum>
  <w:abstractNum w:abstractNumId="9">
    <w:nsid w:val="EAD6F57"/>
    <w:multiLevelType w:val="hybridMultilevel"/>
    <w:lvl w:ilvl="0">
      <w:lvlJc w:val="left"/>
      <w:lvlText w:val="•"/>
      <w:numFmt w:val="bullet"/>
      <w:start w:val="1"/>
    </w:lvl>
  </w:abstractNum>
  <w:abstractNum w:abstractNumId="10">
    <w:nsid w:val="6EC9D844"/>
    <w:multiLevelType w:val="hybridMultilevel"/>
    <w:lvl w:ilvl="0">
      <w:lvlJc w:val="left"/>
      <w:lvlText w:val="•"/>
      <w:numFmt w:val="bullet"/>
      <w:start w:val="1"/>
    </w:lvl>
  </w:abstractNum>
  <w:abstractNum w:abstractNumId="11">
    <w:nsid w:val="5C49EAEE"/>
    <w:multiLevelType w:val="hybridMultilevel"/>
    <w:lvl w:ilvl="0">
      <w:lvlJc w:val="left"/>
      <w:lvlText w:val="•"/>
      <w:numFmt w:val="bullet"/>
      <w:start w:val="1"/>
    </w:lvl>
  </w:abstractNum>
  <w:abstractNum w:abstractNumId="12">
    <w:nsid w:val="64AF49B"/>
    <w:multiLevelType w:val="hybridMultilevel"/>
    <w:lvl w:ilvl="0">
      <w:lvlJc w:val="left"/>
      <w:lvlText w:val="•"/>
      <w:numFmt w:val="bullet"/>
      <w:start w:val="1"/>
    </w:lvl>
  </w:abstractNum>
  <w:abstractNum w:abstractNumId="13">
    <w:nsid w:val="397C46BC"/>
    <w:multiLevelType w:val="hybridMultilevel"/>
    <w:lvl w:ilvl="0">
      <w:lvlJc w:val="left"/>
      <w:lvlText w:val="•"/>
      <w:numFmt w:val="bullet"/>
      <w:start w:val="1"/>
    </w:lvl>
  </w:abstractNum>
  <w:abstractNum w:abstractNumId="14">
    <w:nsid w:val="7E448DE9"/>
    <w:multiLevelType w:val="hybridMultilevel"/>
    <w:lvl w:ilvl="0">
      <w:lvlJc w:val="left"/>
      <w:lvlText w:val="•"/>
      <w:numFmt w:val="bullet"/>
      <w:start w:val="1"/>
    </w:lvl>
  </w:abstractNum>
  <w:abstractNum w:abstractNumId="15">
    <w:nsid w:val="5A9CC3E5"/>
    <w:multiLevelType w:val="hybridMultilevel"/>
    <w:lvl w:ilvl="0">
      <w:lvlJc w:val="left"/>
      <w:lvlText w:val="•"/>
      <w:numFmt w:val="bullet"/>
      <w:start w:val="1"/>
    </w:lvl>
  </w:abstractNum>
  <w:abstractNum w:abstractNumId="16">
    <w:nsid w:val="1AFE3625"/>
    <w:multiLevelType w:val="hybridMultilevel"/>
    <w:lvl w:ilvl="0">
      <w:lvlJc w:val="left"/>
      <w:lvlText w:val="•"/>
      <w:numFmt w:val="bullet"/>
      <w:start w:val="1"/>
    </w:lvl>
  </w:abstractNum>
  <w:abstractNum w:abstractNumId="17">
    <w:nsid w:val="3CA88ECF"/>
    <w:multiLevelType w:val="hybridMultilevel"/>
    <w:lvl w:ilvl="0">
      <w:lvlJc w:val="left"/>
      <w:lvlText w:val="•"/>
      <w:numFmt w:val="bullet"/>
      <w:start w:val="1"/>
    </w:lvl>
  </w:abstractNum>
  <w:abstractNum w:abstractNumId="18">
    <w:nsid w:val="6EBE4208"/>
    <w:multiLevelType w:val="hybridMultilevel"/>
    <w:lvl w:ilvl="0">
      <w:lvlJc w:val="left"/>
      <w:lvlText w:val="•"/>
      <w:numFmt w:val="bullet"/>
      <w:start w:val="1"/>
    </w:lvl>
  </w:abstractNum>
  <w:abstractNum w:abstractNumId="19">
    <w:nsid w:val="C058DF5"/>
    <w:multiLevelType w:val="hybridMultilevel"/>
    <w:lvl w:ilvl="0">
      <w:lvlJc w:val="left"/>
      <w:lvlText w:val="•"/>
      <w:numFmt w:val="bullet"/>
      <w:start w:val="1"/>
    </w:lvl>
  </w:abstractNum>
  <w:abstractNum w:abstractNumId="20">
    <w:nsid w:val="CBE5BE9"/>
    <w:multiLevelType w:val="hybridMultilevel"/>
    <w:lvl w:ilvl="0">
      <w:lvlJc w:val="left"/>
      <w:lvlText w:val="•"/>
      <w:numFmt w:val="bullet"/>
      <w:start w:val="1"/>
    </w:lvl>
  </w:abstractNum>
  <w:abstractNum w:abstractNumId="21">
    <w:nsid w:val="3102BBE2"/>
    <w:multiLevelType w:val="hybridMultilevel"/>
    <w:lvl w:ilvl="0">
      <w:lvlJc w:val="left"/>
      <w:lvlText w:val="•"/>
      <w:numFmt w:val="bullet"/>
      <w:start w:val="1"/>
    </w:lvl>
  </w:abstractNum>
  <w:abstractNum w:abstractNumId="22">
    <w:nsid w:val="26A02C5E"/>
    <w:multiLevelType w:val="hybridMultilevel"/>
    <w:lvl w:ilvl="0">
      <w:lvlJc w:val="left"/>
      <w:lvlText w:val="•"/>
      <w:numFmt w:val="bullet"/>
      <w:start w:val="1"/>
    </w:lvl>
  </w:abstractNum>
  <w:abstractNum w:abstractNumId="23">
    <w:nsid w:val="541C8153"/>
    <w:multiLevelType w:val="hybridMultilevel"/>
    <w:lvl w:ilvl="0">
      <w:lvlJc w:val="left"/>
      <w:lvlText w:val="•"/>
      <w:numFmt w:val="bullet"/>
      <w:start w:val="1"/>
    </w:lvl>
  </w:abstractNum>
  <w:abstractNum w:abstractNumId="24">
    <w:nsid w:val="67906F60"/>
    <w:multiLevelType w:val="hybridMultilevel"/>
    <w:lvl w:ilvl="0">
      <w:lvlJc w:val="left"/>
      <w:lvlText w:val="•"/>
      <w:numFmt w:val="bullet"/>
      <w:start w:val="1"/>
    </w:lvl>
  </w:abstractNum>
  <w:abstractNum w:abstractNumId="25">
    <w:nsid w:val="10DB9DAA"/>
    <w:multiLevelType w:val="hybridMultilevel"/>
    <w:lvl w:ilvl="0">
      <w:lvlJc w:val="left"/>
      <w:lvlText w:val="•"/>
      <w:numFmt w:val="bullet"/>
      <w:start w:val="1"/>
    </w:lvl>
  </w:abstractNum>
  <w:abstractNum w:abstractNumId="26">
    <w:nsid w:val="697D2D2"/>
    <w:multiLevelType w:val="hybridMultilevel"/>
    <w:lvl w:ilvl="0">
      <w:lvlJc w:val="left"/>
      <w:lvlText w:val="•"/>
      <w:numFmt w:val="bullet"/>
      <w:start w:val="1"/>
    </w:lvl>
  </w:abstractNum>
  <w:abstractNum w:abstractNumId="27">
    <w:nsid w:val="6D68AB2"/>
    <w:multiLevelType w:val="hybridMultilevel"/>
    <w:lvl w:ilvl="0">
      <w:lvlJc w:val="left"/>
      <w:lvlText w:val="•"/>
      <w:numFmt w:val="bullet"/>
      <w:start w:val="1"/>
    </w:lvl>
  </w:abstractNum>
  <w:abstractNum w:abstractNumId="28">
    <w:nsid w:val="3A966CD0"/>
    <w:multiLevelType w:val="hybridMultilevel"/>
    <w:lvl w:ilvl="0">
      <w:lvlJc w:val="left"/>
      <w:lvlText w:val="•"/>
      <w:numFmt w:val="bullet"/>
      <w:start w:val="1"/>
    </w:lvl>
  </w:abstractNum>
  <w:abstractNum w:abstractNumId="29">
    <w:nsid w:val="63F37E85"/>
    <w:multiLevelType w:val="hybridMultilevel"/>
    <w:lvl w:ilvl="0">
      <w:lvlJc w:val="left"/>
      <w:lvlText w:val="•"/>
      <w:numFmt w:val="bullet"/>
      <w:start w:val="1"/>
    </w:lvl>
  </w:abstractNum>
  <w:abstractNum w:abstractNumId="30">
    <w:nsid w:val="5895F5FA"/>
    <w:multiLevelType w:val="hybridMultilevel"/>
    <w:lvl w:ilvl="0">
      <w:lvlJc w:val="left"/>
      <w:lvlText w:val="•"/>
      <w:numFmt w:val="bullet"/>
      <w:start w:val="1"/>
    </w:lvl>
  </w:abstractNum>
  <w:abstractNum w:abstractNumId="31">
    <w:nsid w:val="38A5D054"/>
    <w:multiLevelType w:val="hybridMultilevel"/>
    <w:lvl w:ilvl="0">
      <w:lvlJc w:val="left"/>
      <w:lvlText w:val="•"/>
      <w:numFmt w:val="bullet"/>
      <w:start w:val="1"/>
    </w:lvl>
  </w:abstractNum>
  <w:abstractNum w:abstractNumId="32">
    <w:nsid w:val="F3F09D8"/>
    <w:multiLevelType w:val="hybridMultilevel"/>
    <w:lvl w:ilvl="0">
      <w:lvlJc w:val="left"/>
      <w:lvlText w:val="•"/>
      <w:numFmt w:val="bullet"/>
      <w:start w:val="1"/>
    </w:lvl>
  </w:abstractNum>
  <w:abstractNum w:abstractNumId="33">
    <w:nsid w:val="4B793735"/>
    <w:multiLevelType w:val="hybridMultilevel"/>
    <w:lvl w:ilvl="0">
      <w:lvlJc w:val="left"/>
      <w:lvlText w:val="•"/>
      <w:numFmt w:val="bullet"/>
      <w:start w:val="1"/>
    </w:lvl>
  </w:abstractNum>
  <w:abstractNum w:abstractNumId="34">
    <w:nsid w:val="4A10B4E8"/>
    <w:multiLevelType w:val="hybridMultilevel"/>
    <w:lvl w:ilvl="0">
      <w:lvlJc w:val="left"/>
      <w:lvlText w:val="•"/>
      <w:numFmt w:val="bullet"/>
      <w:start w:val="1"/>
    </w:lvl>
  </w:abstractNum>
  <w:abstractNum w:abstractNumId="35">
    <w:nsid w:val="43D3BCD4"/>
    <w:multiLevelType w:val="hybridMultilevel"/>
    <w:lvl w:ilvl="0">
      <w:lvlJc w:val="left"/>
      <w:lvlText w:val="•"/>
      <w:numFmt w:val="bullet"/>
      <w:start w:val="1"/>
    </w:lvl>
  </w:abstractNum>
  <w:abstractNum w:abstractNumId="36">
    <w:nsid w:val="4C2A7166"/>
    <w:multiLevelType w:val="hybridMultilevel"/>
    <w:lvl w:ilvl="0">
      <w:lvlJc w:val="left"/>
      <w:lvlText w:val="•"/>
      <w:numFmt w:val="bullet"/>
      <w:start w:val="1"/>
    </w:lvl>
  </w:abstractNum>
  <w:abstractNum w:abstractNumId="37">
    <w:nsid w:val="2E534A82"/>
    <w:multiLevelType w:val="hybridMultilevel"/>
    <w:lvl w:ilvl="0">
      <w:lvlJc w:val="left"/>
      <w:lvlText w:val="•"/>
      <w:numFmt w:val="bullet"/>
      <w:start w:val="1"/>
    </w:lvl>
  </w:abstractNum>
  <w:abstractNum w:abstractNumId="38">
    <w:nsid w:val="26F2D364"/>
    <w:multiLevelType w:val="hybridMultilevel"/>
    <w:lvl w:ilvl="0">
      <w:lvlJc w:val="left"/>
      <w:lvlText w:val="•"/>
      <w:numFmt w:val="bullet"/>
      <w:start w:val="1"/>
    </w:lvl>
  </w:abstractNum>
  <w:abstractNum w:abstractNumId="39">
    <w:nsid w:val="71C1AF98"/>
    <w:multiLevelType w:val="hybridMultilevel"/>
    <w:lvl w:ilvl="0">
      <w:lvlJc w:val="left"/>
      <w:lvlText w:val="•"/>
      <w:numFmt w:val="bullet"/>
      <w:start w:val="1"/>
    </w:lvl>
  </w:abstractNum>
  <w:abstractNum w:abstractNumId="40">
    <w:nsid w:val="3D00B9D9"/>
    <w:multiLevelType w:val="hybridMultilevel"/>
    <w:lvl w:ilvl="0">
      <w:lvlJc w:val="left"/>
      <w:lvlText w:val="•"/>
      <w:numFmt w:val="bullet"/>
      <w:start w:val="1"/>
    </w:lvl>
  </w:abstractNum>
  <w:abstractNum w:abstractNumId="41">
    <w:nsid w:val="15BCABA8"/>
    <w:multiLevelType w:val="hybridMultilevel"/>
    <w:lvl w:ilvl="0">
      <w:lvlJc w:val="left"/>
      <w:lvlText w:val="•"/>
      <w:numFmt w:val="bullet"/>
      <w:start w:val="1"/>
    </w:lvl>
  </w:abstractNum>
  <w:abstractNum w:abstractNumId="42">
    <w:nsid w:val="4E0B9A87"/>
    <w:multiLevelType w:val="hybridMultilevel"/>
    <w:lvl w:ilvl="0">
      <w:lvlJc w:val="left"/>
      <w:lvlText w:val="•"/>
      <w:numFmt w:val="bullet"/>
      <w:start w:val="1"/>
    </w:lvl>
  </w:abstractNum>
  <w:abstractNum w:abstractNumId="43">
    <w:nsid w:val="434BAE75"/>
    <w:multiLevelType w:val="hybridMultilevel"/>
    <w:lvl w:ilvl="0">
      <w:lvlJc w:val="left"/>
      <w:lvlText w:val="•"/>
      <w:numFmt w:val="bullet"/>
      <w:start w:val="1"/>
    </w:lvl>
  </w:abstractNum>
  <w:abstractNum w:abstractNumId="44">
    <w:nsid w:val="4F38F265"/>
    <w:multiLevelType w:val="hybridMultilevel"/>
    <w:lvl w:ilvl="0">
      <w:lvlJc w:val="left"/>
      <w:lvlText w:val="•"/>
      <w:numFmt w:val="bullet"/>
      <w:start w:val="1"/>
    </w:lvl>
  </w:abstractNum>
  <w:abstractNum w:abstractNumId="45">
    <w:nsid w:val="4C502870"/>
    <w:multiLevelType w:val="hybridMultilevel"/>
    <w:lvl w:ilvl="0">
      <w:lvlJc w:val="left"/>
      <w:lvlText w:val="•"/>
      <w:numFmt w:val="bullet"/>
      <w:start w:val="1"/>
    </w:lvl>
  </w:abstractNum>
  <w:abstractNum w:abstractNumId="46">
    <w:nsid w:val="1DE8725A"/>
    <w:multiLevelType w:val="hybridMultilevel"/>
    <w:lvl w:ilvl="0">
      <w:lvlJc w:val="left"/>
      <w:lvlText w:val="•"/>
      <w:numFmt w:val="bullet"/>
      <w:start w:val="1"/>
    </w:lvl>
  </w:abstractNum>
  <w:abstractNum w:abstractNumId="47">
    <w:nsid w:val="6A37288A"/>
    <w:multiLevelType w:val="hybridMultilevel"/>
    <w:lvl w:ilvl="0">
      <w:lvlJc w:val="left"/>
      <w:lvlText w:val="•"/>
      <w:numFmt w:val="bullet"/>
      <w:start w:val="1"/>
    </w:lvl>
  </w:abstractNum>
  <w:abstractNum w:abstractNumId="48">
    <w:nsid w:val="8F8B73F"/>
    <w:multiLevelType w:val="hybridMultilevel"/>
    <w:lvl w:ilvl="0">
      <w:lvlJc w:val="left"/>
      <w:lvlText w:val="•"/>
      <w:numFmt w:val="bullet"/>
      <w:start w:val="1"/>
    </w:lvl>
  </w:abstractNum>
  <w:abstractNum w:abstractNumId="49">
    <w:nsid w:val="CA6B462"/>
    <w:multiLevelType w:val="hybridMultilevel"/>
    <w:lvl w:ilvl="0">
      <w:lvlJc w:val="left"/>
      <w:lvlText w:val="•"/>
      <w:numFmt w:val="bullet"/>
      <w:start w:val="1"/>
    </w:lvl>
  </w:abstractNum>
  <w:abstractNum w:abstractNumId="50">
    <w:nsid w:val="763CB680"/>
    <w:multiLevelType w:val="hybridMultilevel"/>
    <w:lvl w:ilvl="0">
      <w:lvlJc w:val="left"/>
      <w:lvlText w:val="•"/>
      <w:numFmt w:val="bullet"/>
      <w:start w:val="1"/>
    </w:lvl>
  </w:abstractNum>
  <w:abstractNum w:abstractNumId="51">
    <w:nsid w:val="15B71329"/>
    <w:multiLevelType w:val="hybridMultilevel"/>
    <w:lvl w:ilvl="0">
      <w:lvlJc w:val="left"/>
      <w:lvlText w:val="•"/>
      <w:numFmt w:val="bullet"/>
      <w:start w:val="1"/>
    </w:lvl>
  </w:abstractNum>
  <w:abstractNum w:abstractNumId="52">
    <w:nsid w:val="3DA97044"/>
    <w:multiLevelType w:val="hybridMultilevel"/>
    <w:lvl w:ilvl="0">
      <w:lvlJc w:val="left"/>
      <w:lvlText w:val="•"/>
      <w:numFmt w:val="bullet"/>
      <w:start w:val="1"/>
    </w:lvl>
  </w:abstractNum>
  <w:abstractNum w:abstractNumId="53">
    <w:nsid w:val="1CDCE2DE"/>
    <w:multiLevelType w:val="hybridMultilevel"/>
    <w:lvl w:ilvl="0">
      <w:lvlJc w:val="left"/>
      <w:lvlText w:val="%1."/>
      <w:numFmt w:val="upperLetter"/>
      <w:start w:val="1"/>
    </w:lvl>
  </w:abstractNum>
  <w:abstractNum w:abstractNumId="54">
    <w:nsid w:val="69D3947C"/>
    <w:multiLevelType w:val="hybridMultilevel"/>
    <w:lvl w:ilvl="0">
      <w:lvlJc w:val="left"/>
      <w:lvlText w:val="%1."/>
      <w:numFmt w:val="upperLetter"/>
      <w:start w:val="2"/>
    </w:lvl>
  </w:abstractNum>
  <w:abstractNum w:abstractNumId="55">
    <w:nsid w:val="2539DFA5"/>
    <w:multiLevelType w:val="hybridMultilevel"/>
    <w:lvl w:ilvl="0">
      <w:lvlJc w:val="left"/>
      <w:lvlText w:val="•"/>
      <w:numFmt w:val="bullet"/>
      <w:start w:val="1"/>
    </w:lvl>
  </w:abstractNum>
  <w:abstractNum w:abstractNumId="56">
    <w:nsid w:val="2DB88089"/>
    <w:multiLevelType w:val="hybridMultilevel"/>
    <w:lvl w:ilvl="0">
      <w:lvlJc w:val="left"/>
      <w:lvlText w:val="•"/>
      <w:numFmt w:val="bullet"/>
      <w:start w:val="1"/>
    </w:lvl>
  </w:abstractNum>
  <w:abstractNum w:abstractNumId="57">
    <w:nsid w:val="706B674E"/>
    <w:multiLevelType w:val="hybridMultilevel"/>
    <w:lvl w:ilvl="0">
      <w:lvlJc w:val="left"/>
      <w:lvlText w:val="%1."/>
      <w:numFmt w:val="decimal"/>
      <w:start w:val="1"/>
    </w:lvl>
  </w:abstractNum>
  <w:abstractNum w:abstractNumId="58">
    <w:nsid w:val="2C106A57"/>
    <w:multiLevelType w:val="hybridMultilevel"/>
    <w:lvl w:ilvl="0">
      <w:lvlJc w:val="left"/>
      <w:lvlText w:val="%1."/>
      <w:numFmt w:val="decimal"/>
      <w:start w:val="4"/>
    </w:lvl>
  </w:abstractNum>
  <w:abstractNum w:abstractNumId="59">
    <w:nsid w:val="684EED59"/>
    <w:multiLevelType w:val="hybridMultilevel"/>
    <w:lvl w:ilvl="0">
      <w:lvlJc w:val="left"/>
      <w:lvlText w:val="%1."/>
      <w:numFmt w:val="decimal"/>
      <w:start w:val="1"/>
    </w:lvl>
  </w:abstractNum>
  <w:abstractNum w:abstractNumId="60">
    <w:nsid w:val="545EE5D3"/>
    <w:multiLevelType w:val="hybridMultilevel"/>
    <w:lvl w:ilvl="0">
      <w:lvlJc w:val="left"/>
      <w:lvlText w:val="%1."/>
      <w:numFmt w:val="decimal"/>
      <w:start w:val="1"/>
    </w:lvl>
  </w:abstractNum>
  <w:abstractNum w:abstractNumId="61">
    <w:nsid w:val="4A66051"/>
    <w:multiLevelType w:val="hybridMultilevel"/>
    <w:lvl w:ilvl="0">
      <w:lvlJc w:val="left"/>
      <w:lvlText w:val="%1."/>
      <w:numFmt w:val="decimal"/>
      <w:start w:val="1"/>
    </w:lvl>
  </w:abstractNum>
  <w:abstractNum w:abstractNumId="62">
    <w:nsid w:val="20F4BDAD"/>
    <w:multiLevelType w:val="hybridMultilevel"/>
    <w:lvl w:ilvl="0">
      <w:lvlJc w:val="left"/>
      <w:lvlText w:val="-"/>
      <w:numFmt w:val="bullet"/>
      <w:start w:val="1"/>
    </w:lvl>
  </w:abstractNum>
  <w:abstractNum w:abstractNumId="63">
    <w:nsid w:val="639DEFAC"/>
    <w:multiLevelType w:val="hybridMultilevel"/>
    <w:lvl w:ilvl="0">
      <w:lvlJc w:val="left"/>
      <w:lvlText w:val="•"/>
      <w:numFmt w:val="bullet"/>
      <w:start w:val="1"/>
    </w:lvl>
  </w:abstractNum>
  <w:abstractNum w:abstractNumId="64">
    <w:nsid w:val="501F9786"/>
    <w:multiLevelType w:val="hybridMultilevel"/>
    <w:lvl w:ilvl="0">
      <w:lvlJc w:val="left"/>
      <w:lvlText w:val="•"/>
      <w:numFmt w:val="bullet"/>
      <w:start w:val="1"/>
    </w:lvl>
  </w:abstractNum>
  <w:abstractNum w:abstractNumId="65">
    <w:nsid w:val="6B057295"/>
    <w:multiLevelType w:val="hybridMultilevel"/>
    <w:lvl w:ilvl="0">
      <w:lvlJc w:val="left"/>
      <w:lvlText w:val="•"/>
      <w:numFmt w:val="bullet"/>
      <w:start w:val="1"/>
    </w:lvl>
  </w:abstractNum>
  <w:abstractNum w:abstractNumId="66">
    <w:nsid w:val="2771AC80"/>
    <w:multiLevelType w:val="hybridMultilevel"/>
    <w:lvl w:ilvl="0">
      <w:lvlJc w:val="left"/>
      <w:lvlText w:val="•"/>
      <w:numFmt w:val="bullet"/>
      <w:start w:val="1"/>
    </w:lvl>
  </w:abstractNum>
  <w:abstractNum w:abstractNumId="67">
    <w:nsid w:val="1C4A08EC"/>
    <w:multiLevelType w:val="hybridMultilevel"/>
    <w:lvl w:ilvl="0">
      <w:lvlJc w:val="left"/>
      <w:lvlText w:val="%1."/>
      <w:numFmt w:val="upperLetter"/>
      <w:start w:val="4"/>
    </w:lvl>
  </w:abstractNum>
  <w:abstractNum w:abstractNumId="68">
    <w:nsid w:val="1958BD17"/>
    <w:multiLevelType w:val="hybridMultilevel"/>
    <w:lvl w:ilvl="0">
      <w:lvlJc w:val="left"/>
      <w:lvlText w:val="%1."/>
      <w:numFmt w:val="upperLetter"/>
      <w:start w:val="1"/>
    </w:lvl>
  </w:abstractNum>
  <w:abstractNum w:abstractNumId="69">
    <w:nsid w:val="4E647FE4"/>
    <w:multiLevelType w:val="hybridMultilevel"/>
    <w:lvl w:ilvl="0">
      <w:lvlJc w:val="left"/>
      <w:lvlText w:val="•"/>
      <w:numFmt w:val="bullet"/>
      <w:start w:val="1"/>
    </w:lvl>
  </w:abstractNum>
  <w:abstractNum w:abstractNumId="70">
    <w:nsid w:val="E0BB885"/>
    <w:multiLevelType w:val="hybridMultilevel"/>
    <w:lvl w:ilvl="0">
      <w:lvlJc w:val="left"/>
      <w:lvlText w:val="•"/>
      <w:numFmt w:val="bullet"/>
      <w:start w:val="1"/>
    </w:lvl>
  </w:abstractNum>
  <w:abstractNum w:abstractNumId="71">
    <w:nsid w:val="565976F1"/>
    <w:multiLevelType w:val="hybridMultilevel"/>
    <w:lvl w:ilvl="0">
      <w:lvlJc w:val="left"/>
      <w:lvlText w:val="•"/>
      <w:numFmt w:val="bullet"/>
      <w:start w:val="1"/>
    </w:lvl>
  </w:abstractNum>
  <w:abstractNum w:abstractNumId="72">
    <w:nsid w:val="64212B8C"/>
    <w:multiLevelType w:val="hybridMultilevel"/>
    <w:lvl w:ilvl="0">
      <w:lvlJc w:val="left"/>
      <w:lvlText w:val="•"/>
      <w:numFmt w:val="bullet"/>
      <w:start w:val="1"/>
    </w:lvl>
  </w:abstractNum>
  <w:abstractNum w:abstractNumId="73">
    <w:nsid w:val="5C17530C"/>
    <w:multiLevelType w:val="hybridMultilevel"/>
    <w:lvl w:ilvl="0">
      <w:lvlJc w:val="left"/>
      <w:lvlText w:val="•"/>
      <w:numFmt w:val="bullet"/>
      <w:start w:val="1"/>
    </w:lvl>
  </w:abstractNum>
  <w:abstractNum w:abstractNumId="74">
    <w:nsid w:val="19A52566"/>
    <w:multiLevelType w:val="hybridMultilevel"/>
    <w:lvl w:ilvl="0">
      <w:lvlJc w:val="left"/>
      <w:lvlText w:val="%1."/>
      <w:numFmt w:val="upperLetter"/>
      <w:start w:val="2"/>
    </w:lvl>
  </w:abstractNum>
  <w:abstractNum w:abstractNumId="75">
    <w:nsid w:val="335A1DF1"/>
    <w:multiLevelType w:val="hybridMultilevel"/>
    <w:lvl w:ilvl="0">
      <w:lvlJc w:val="left"/>
      <w:lvlText w:val="•"/>
      <w:numFmt w:val="bullet"/>
      <w:start w:val="1"/>
    </w:lvl>
  </w:abstractNum>
  <w:abstractNum w:abstractNumId="76">
    <w:nsid w:val="28677B7C"/>
    <w:multiLevelType w:val="hybridMultilevel"/>
    <w:lvl w:ilvl="0">
      <w:lvlJc w:val="left"/>
      <w:lvlText w:val="•"/>
      <w:numFmt w:val="bullet"/>
      <w:start w:val="1"/>
    </w:lvl>
  </w:abstractNum>
  <w:abstractNum w:abstractNumId="77">
    <w:nsid w:val="378D97C0"/>
    <w:multiLevelType w:val="hybridMultilevel"/>
    <w:lvl w:ilvl="0">
      <w:lvlJc w:val="left"/>
      <w:lvlText w:val="•"/>
      <w:numFmt w:val="bullet"/>
      <w:start w:val="1"/>
    </w:lvl>
  </w:abstractNum>
  <w:abstractNum w:abstractNumId="78">
    <w:nsid w:val="1D91467C"/>
    <w:multiLevelType w:val="hybridMultilevel"/>
    <w:lvl w:ilvl="0">
      <w:lvlJc w:val="left"/>
      <w:lvlText w:val="%1."/>
      <w:numFmt w:val="upperLetter"/>
      <w:start w:val="3"/>
    </w:lvl>
  </w:abstractNum>
  <w:abstractNum w:abstractNumId="79">
    <w:nsid w:val="316032BB"/>
    <w:multiLevelType w:val="hybridMultilevel"/>
    <w:lvl w:ilvl="0">
      <w:lvlJc w:val="left"/>
      <w:lvlText w:val="%1."/>
      <w:numFmt w:val="upperLetter"/>
      <w:start w:val="4"/>
    </w:lvl>
  </w:abstractNum>
  <w:abstractNum w:abstractNumId="80">
    <w:nsid w:val="44344C22"/>
    <w:multiLevelType w:val="hybridMultilevel"/>
    <w:lvl w:ilvl="0">
      <w:lvlJc w:val="left"/>
      <w:lvlText w:val="%1."/>
      <w:numFmt w:val="upperLetter"/>
      <w:start w:val="5"/>
    </w:lvl>
  </w:abstractNum>
  <w:abstractNum w:abstractNumId="81">
    <w:nsid w:val="13CDFCFC"/>
    <w:multiLevelType w:val="hybridMultilevel"/>
    <w:lvl w:ilvl="0">
      <w:lvlJc w:val="left"/>
      <w:lvlText w:val="%1."/>
      <w:numFmt w:val="upperLetter"/>
      <w:start w:val="1"/>
    </w:lvl>
  </w:abstractNum>
  <w:abstractNum w:abstractNumId="82">
    <w:nsid w:val="471745E4"/>
    <w:multiLevelType w:val="hybridMultilevel"/>
    <w:lvl w:ilvl="0">
      <w:lvlJc w:val="left"/>
      <w:lvlText w:val="%1."/>
      <w:numFmt w:val="upperLetter"/>
      <w:start w:val="2"/>
    </w:lvl>
  </w:abstractNum>
  <w:abstractNum w:abstractNumId="83">
    <w:nsid w:val="1DDBC66"/>
    <w:multiLevelType w:val="hybridMultilevel"/>
    <w:lvl w:ilvl="0">
      <w:lvlJc w:val="left"/>
      <w:lvlText w:val="(%1)"/>
      <w:numFmt w:val="decimal"/>
      <w:start w:val="1"/>
    </w:lvl>
  </w:abstractNum>
  <w:abstractNum w:abstractNumId="84">
    <w:nsid w:val="30AADFDA"/>
    <w:multiLevelType w:val="hybridMultilevel"/>
    <w:lvl w:ilvl="0">
      <w:lvlJc w:val="left"/>
      <w:lvlText w:val="(%1)"/>
      <w:numFmt w:val="decimal"/>
      <w:start w:val="1"/>
    </w:lvl>
  </w:abstractNum>
  <w:abstractNum w:abstractNumId="85">
    <w:nsid w:val="30EADA61"/>
    <w:multiLevelType w:val="hybridMultilevel"/>
    <w:lvl w:ilvl="0">
      <w:lvlJc w:val="left"/>
      <w:lvlText w:val="•"/>
      <w:numFmt w:val="bullet"/>
      <w:start w:val="1"/>
    </w:lvl>
    <w:lvl w:ilvl="1">
      <w:lvlJc w:val="left"/>
      <w:lvlText w:val="•"/>
      <w:numFmt w:val="bullet"/>
      <w:start w:val="1"/>
    </w:lvl>
  </w:abstractNum>
  <w:abstractNum w:abstractNumId="86">
    <w:nsid w:val="27179C0B"/>
    <w:multiLevelType w:val="hybridMultilevel"/>
    <w:lvl w:ilvl="0">
      <w:lvlJc w:val="left"/>
      <w:lvlText w:val="%1."/>
      <w:numFmt w:val="upperLetter"/>
      <w:start w:val="3"/>
    </w:lvl>
  </w:abstractNum>
  <w:abstractNum w:abstractNumId="87">
    <w:nsid w:val="5E636063"/>
    <w:multiLevelType w:val="hybridMultilevel"/>
    <w:lvl w:ilvl="0">
      <w:lvlJc w:val="left"/>
      <w:lvlText w:val="%1."/>
      <w:numFmt w:val="upperLetter"/>
      <w:start w:val="4"/>
    </w:lvl>
  </w:abstractNum>
  <w:abstractNum w:abstractNumId="88">
    <w:nsid w:val="215641AF"/>
    <w:multiLevelType w:val="hybridMultilevel"/>
    <w:lvl w:ilvl="0">
      <w:lvlJc w:val="left"/>
      <w:lvlText w:val="%1."/>
      <w:numFmt w:val="upperLetter"/>
      <w:start w:val="5"/>
    </w:lvl>
  </w:abstractNum>
  <w:abstractNum w:abstractNumId="89">
    <w:nsid w:val="53280662"/>
    <w:multiLevelType w:val="hybridMultilevel"/>
    <w:lvl w:ilvl="0">
      <w:lvlJc w:val="left"/>
      <w:lvlText w:val="%1."/>
      <w:numFmt w:val="upperLetter"/>
      <w:start w:val="6"/>
    </w:lvl>
  </w:abstractNum>
  <w:abstractNum w:abstractNumId="90">
    <w:nsid w:val="46B24DBC"/>
    <w:multiLevelType w:val="hybridMultilevel"/>
    <w:lvl w:ilvl="0">
      <w:lvlJc w:val="left"/>
      <w:lvlText w:val="%1."/>
      <w:numFmt w:val="upperLetter"/>
      <w:start w:val="1"/>
    </w:lvl>
  </w:abstractNum>
  <w:abstractNum w:abstractNumId="91">
    <w:nsid w:val="75B52783"/>
    <w:multiLevelType w:val="hybridMultilevel"/>
    <w:lvl w:ilvl="0">
      <w:lvlJc w:val="left"/>
      <w:lvlText w:val="•"/>
      <w:numFmt w:val="bullet"/>
      <w:start w:val="1"/>
    </w:lvl>
  </w:abstractNum>
  <w:abstractNum w:abstractNumId="92">
    <w:nsid w:val="57CE66B4"/>
    <w:multiLevelType w:val="hybridMultilevel"/>
    <w:lvl w:ilvl="0">
      <w:lvlJc w:val="left"/>
      <w:lvlText w:val="*"/>
      <w:numFmt w:val="bullet"/>
      <w:start w:val="1"/>
    </w:lvl>
  </w:abstractNum>
  <w:abstractNum w:abstractNumId="93">
    <w:nsid w:val="67A70B69"/>
    <w:multiLevelType w:val="hybridMultilevel"/>
    <w:lvl w:ilvl="0">
      <w:lvlJc w:val="left"/>
      <w:lvlText w:val="(%1)"/>
      <w:numFmt w:val="decimal"/>
      <w:start w:val="1"/>
    </w:lvl>
  </w:abstractNum>
  <w:abstractNum w:abstractNumId="94">
    <w:nsid w:val="5953172F"/>
    <w:multiLevelType w:val="hybridMultilevel"/>
    <w:lvl w:ilvl="0">
      <w:lvlJc w:val="left"/>
      <w:lvlText w:val="%1."/>
      <w:numFmt w:val="upperLetter"/>
      <w:start w:val="2"/>
    </w:lvl>
  </w:abstractNum>
  <w:abstractNum w:abstractNumId="95">
    <w:nsid w:val="27EDFE3A"/>
    <w:multiLevelType w:val="hybridMultilevel"/>
    <w:lvl w:ilvl="0">
      <w:lvlJc w:val="left"/>
      <w:lvlText w:val="%1."/>
      <w:numFmt w:val="upperLetter"/>
      <w:start w:val="3"/>
    </w:lvl>
  </w:abstractNum>
  <w:abstractNum w:abstractNumId="96">
    <w:nsid w:val="52AC7DFF"/>
    <w:multiLevelType w:val="hybridMultilevel"/>
    <w:lvl w:ilvl="0">
      <w:lvlJc w:val="left"/>
      <w:lvlText w:val="%1."/>
      <w:numFmt w:val="upperLetter"/>
      <w:start w:val="1"/>
    </w:lvl>
  </w:abstractNum>
  <w:abstractNum w:abstractNumId="97">
    <w:nsid w:val="C4C3AF"/>
    <w:multiLevelType w:val="hybridMultilevel"/>
    <w:lvl w:ilvl="0">
      <w:lvlJc w:val="left"/>
      <w:lvlText w:val="%1."/>
      <w:numFmt w:val="upperLetter"/>
      <w:start w:val="2"/>
    </w:lvl>
  </w:abstractNum>
  <w:abstractNum w:abstractNumId="98">
    <w:nsid w:val="44380727"/>
    <w:multiLevelType w:val="hybridMultilevel"/>
    <w:lvl w:ilvl="0">
      <w:lvlJc w:val="left"/>
      <w:lvlText w:val="%1."/>
      <w:numFmt w:val="upperLetter"/>
      <w:start w:val="1"/>
    </w:lvl>
  </w:abstractNum>
  <w:abstractNum w:abstractNumId="99">
    <w:nsid w:val="6C053B16"/>
    <w:multiLevelType w:val="hybridMultilevel"/>
    <w:lvl w:ilvl="0">
      <w:lvlJc w:val="left"/>
      <w:lvlText w:val="%1."/>
      <w:numFmt w:val="upperLetter"/>
      <w:start w:val="2"/>
    </w:lvl>
  </w:abstractNum>
  <w:abstractNum w:abstractNumId="100">
    <w:nsid w:val="4F294393"/>
    <w:multiLevelType w:val="hybridMultilevel"/>
    <w:lvl w:ilvl="0">
      <w:lvlJc w:val="left"/>
      <w:lvlText w:val="%1."/>
      <w:numFmt w:val="upperLetter"/>
      <w:start w:val="4"/>
    </w:lvl>
  </w:abstractNum>
  <w:abstractNum w:abstractNumId="101">
    <w:nsid w:val="5243BFAC"/>
    <w:multiLevelType w:val="hybridMultilevel"/>
    <w:lvl w:ilvl="0">
      <w:lvlJc w:val="left"/>
      <w:lvlText w:val="%1."/>
      <w:numFmt w:val="upperLetter"/>
      <w:start w:val="6"/>
    </w:lvl>
  </w:abstractNum>
  <w:abstractNum w:abstractNumId="102">
    <w:nsid w:val="425EB207"/>
    <w:multiLevelType w:val="hybridMultilevel"/>
    <w:lvl w:ilvl="0">
      <w:lvlJc w:val="left"/>
      <w:lvlText w:val="%1."/>
      <w:numFmt w:val="upperLetter"/>
      <w:start w:val="1"/>
    </w:lvl>
  </w:abstractNum>
  <w:abstractNum w:abstractNumId="103">
    <w:nsid w:val="334A6F1F"/>
    <w:multiLevelType w:val="hybridMultilevel"/>
    <w:lvl w:ilvl="0">
      <w:lvlJc w:val="left"/>
      <w:lvlText w:val="•"/>
      <w:numFmt w:val="bullet"/>
      <w:start w:val="1"/>
    </w:lvl>
  </w:abstractNum>
  <w:abstractNum w:abstractNumId="104">
    <w:nsid w:val="2E5B12B8"/>
    <w:multiLevelType w:val="hybridMultilevel"/>
    <w:lvl w:ilvl="0">
      <w:lvlJc w:val="left"/>
      <w:lvlText w:val="•"/>
      <w:numFmt w:val="bullet"/>
      <w:start w:val="1"/>
    </w:lvl>
  </w:abstractNum>
  <w:abstractNum w:abstractNumId="105">
    <w:nsid w:val="5C03D76D"/>
    <w:multiLevelType w:val="hybridMultilevel"/>
    <w:lvl w:ilvl="0">
      <w:lvlJc w:val="left"/>
      <w:lvlText w:val="%1"/>
      <w:numFmt w:val="lowerLetter"/>
      <w:start w:val="1"/>
    </w:lvl>
    <w:lvl w:ilvl="1">
      <w:lvlJc w:val="left"/>
      <w:lvlText w:val="(%2)"/>
      <w:numFmt w:val="lowerLetter"/>
      <w:start w:val="1"/>
    </w:lvl>
  </w:abstractNum>
  <w:abstractNum w:abstractNumId="106">
    <w:nsid w:val="66A48D11"/>
    <w:multiLevelType w:val="hybridMultilevel"/>
    <w:lvl w:ilvl="0">
      <w:lvlJc w:val="left"/>
      <w:lvlText w:val="(%1)"/>
      <w:numFmt w:val="lowerLetter"/>
      <w:start w:val="4"/>
    </w:lvl>
    <w:lvl w:ilvl="1">
      <w:lvlJc w:val="left"/>
      <w:lvlText w:val="%2"/>
      <w:numFmt w:val="lowerLetter"/>
      <w:start w:val="1"/>
    </w:lvl>
  </w:abstractNum>
  <w:abstractNum w:abstractNumId="107">
    <w:nsid w:val="56C28E34"/>
    <w:multiLevelType w:val="hybridMultilevel"/>
    <w:lvl w:ilvl="0">
      <w:lvlJc w:val="left"/>
      <w:lvlText w:val="(%1)"/>
      <w:numFmt w:val="lowerLetter"/>
      <w:start w:val="4"/>
    </w:lvl>
    <w:lvl w:ilvl="1">
      <w:lvlJc w:val="left"/>
      <w:lvlText w:val="(%2)"/>
      <w:numFmt w:val="lowerRoman"/>
      <w:start w:val="1"/>
    </w:lvl>
  </w:abstractNum>
  <w:abstractNum w:abstractNumId="108">
    <w:nsid w:val="13916F2D"/>
    <w:multiLevelType w:val="hybridMultilevel"/>
    <w:lvl w:ilvl="0">
      <w:lvlJc w:val="left"/>
      <w:lvlText w:val="(%1)"/>
      <w:numFmt w:val="lowerLetter"/>
      <w:start w:val="1"/>
    </w:lvl>
  </w:abstractNum>
  <w:abstractNum w:abstractNumId="109">
    <w:nsid w:val="435D38D"/>
    <w:multiLevelType w:val="hybridMultilevel"/>
    <w:lvl w:ilvl="0">
      <w:lvlJc w:val="left"/>
      <w:lvlText w:val="(%1)"/>
      <w:numFmt w:val="lowerLetter"/>
      <w:start w:val="1"/>
    </w:lvl>
  </w:abstractNum>
  <w:abstractNum w:abstractNumId="110">
    <w:nsid w:val="822C0EF"/>
    <w:multiLevelType w:val="hybridMultilevel"/>
    <w:lvl w:ilvl="0">
      <w:lvlJc w:val="left"/>
      <w:lvlText w:val="•"/>
      <w:numFmt w:val="bullet"/>
      <w:start w:val="1"/>
    </w:lvl>
  </w:abstractNum>
  <w:abstractNum w:abstractNumId="111">
    <w:nsid w:val="57C5BB4F"/>
    <w:multiLevelType w:val="hybridMultilevel"/>
    <w:lvl w:ilvl="0">
      <w:lvlJc w:val="left"/>
      <w:lvlText w:val="(%1)"/>
      <w:numFmt w:val="lowerLetter"/>
      <w:start w:val="1"/>
    </w:lvl>
  </w:abstractNum>
  <w:abstractNum w:abstractNumId="112">
    <w:nsid w:val="1803D089"/>
    <w:multiLevelType w:val="hybridMultilevel"/>
    <w:lvl w:ilvl="0">
      <w:lvlJc w:val="left"/>
      <w:lvlText w:val="(%1)"/>
      <w:numFmt w:val="lowerLetter"/>
      <w:start w:val="1"/>
    </w:lvl>
  </w:abstractNum>
  <w:abstractNum w:abstractNumId="113">
    <w:nsid w:val="4F3A06D4"/>
    <w:multiLevelType w:val="hybridMultilevel"/>
    <w:lvl w:ilvl="0">
      <w:lvlJc w:val="left"/>
      <w:lvlText w:val="•"/>
      <w:numFmt w:val="bullet"/>
      <w:start w:val="1"/>
    </w:lvl>
  </w:abstractNum>
  <w:abstractNum w:abstractNumId="114">
    <w:nsid w:val="59A377B6"/>
    <w:multiLevelType w:val="hybridMultilevel"/>
    <w:lvl w:ilvl="0">
      <w:lvlJc w:val="left"/>
      <w:lvlText w:val="•"/>
      <w:numFmt w:val="bullet"/>
      <w:start w:val="1"/>
    </w:lvl>
  </w:abstractNum>
  <w:abstractNum w:abstractNumId="115">
    <w:nsid w:val="48AEB063"/>
    <w:multiLevelType w:val="hybridMultilevel"/>
    <w:lvl w:ilvl="0">
      <w:lvlJc w:val="left"/>
      <w:lvlText w:val="•"/>
      <w:numFmt w:val="bullet"/>
      <w:start w:val="1"/>
    </w:lvl>
  </w:abstractNum>
  <w:abstractNum w:abstractNumId="116">
    <w:nsid w:val="24E135"/>
    <w:multiLevelType w:val="hybridMultilevel"/>
    <w:lvl w:ilvl="0">
      <w:lvlJc w:val="left"/>
      <w:lvlText w:val="•"/>
      <w:numFmt w:val="bullet"/>
      <w:start w:val="1"/>
    </w:lvl>
  </w:abstractNum>
  <w:abstractNum w:abstractNumId="117">
    <w:nsid w:val="BB13C1"/>
    <w:multiLevelType w:val="hybridMultilevel"/>
    <w:lvl w:ilvl="0">
      <w:lvlJc w:val="left"/>
      <w:lvlText w:val="%1."/>
      <w:numFmt w:val="upperLetter"/>
      <w:start w:val="3"/>
    </w:lvl>
  </w:abstractNum>
  <w:abstractNum w:abstractNumId="118">
    <w:nsid w:val="271210C7"/>
    <w:multiLevelType w:val="hybridMultilevel"/>
    <w:lvl w:ilvl="0">
      <w:lvlJc w:val="left"/>
      <w:lvlText w:val="%1."/>
      <w:numFmt w:val="upperLetter"/>
      <w:start w:val="4"/>
    </w:lvl>
  </w:abstractNum>
  <w:abstractNum w:abstractNumId="119">
    <w:nsid w:val="217B22E4"/>
    <w:multiLevelType w:val="hybridMultilevel"/>
    <w:lvl w:ilvl="0">
      <w:lvlJc w:val="left"/>
      <w:lvlText w:val="%1."/>
      <w:numFmt w:val="upperLetter"/>
      <w:start w:val="5"/>
    </w:lvl>
  </w:abstractNum>
  <w:abstractNum w:abstractNumId="120">
    <w:nsid w:val="53E31A24"/>
    <w:multiLevelType w:val="hybridMultilevel"/>
    <w:lvl w:ilvl="0">
      <w:lvlJc w:val="left"/>
      <w:lvlText w:val="•"/>
      <w:numFmt w:val="bullet"/>
      <w:start w:val="1"/>
    </w:lvl>
  </w:abstractNum>
  <w:abstractNum w:abstractNumId="121">
    <w:nsid w:val="6DC45E83"/>
    <w:multiLevelType w:val="hybridMultilevel"/>
    <w:lvl w:ilvl="0">
      <w:lvlJc w:val="left"/>
      <w:lvlText w:val="•"/>
      <w:numFmt w:val="bullet"/>
      <w:start w:val="1"/>
    </w:lvl>
  </w:abstractNum>
  <w:abstractNum w:abstractNumId="122">
    <w:nsid w:val="17304A67"/>
    <w:multiLevelType w:val="hybridMultilevel"/>
    <w:lvl w:ilvl="0">
      <w:lvlJc w:val="left"/>
      <w:lvlText w:val="%1."/>
      <w:numFmt w:val="upperLetter"/>
      <w:start w:val="6"/>
    </w:lvl>
  </w:abstractNum>
  <w:abstractNum w:abstractNumId="123">
    <w:nsid w:val="2BB180D8"/>
    <w:multiLevelType w:val="hybridMultilevel"/>
    <w:lvl w:ilvl="0">
      <w:lvlJc w:val="left"/>
      <w:lvlText w:val="%1."/>
      <w:numFmt w:val="upperLetter"/>
      <w:start w:val="9"/>
    </w:lvl>
  </w:abstractNum>
  <w:abstractNum w:abstractNumId="124">
    <w:nsid w:val="556B69ED"/>
    <w:multiLevelType w:val="hybridMultilevel"/>
    <w:lvl w:ilvl="0">
      <w:lvlJc w:val="left"/>
      <w:lvlText w:val="%1."/>
      <w:numFmt w:val="upperLetter"/>
      <w:start w:val="1"/>
    </w:lvl>
  </w:abstractNum>
  <w:abstractNum w:abstractNumId="125">
    <w:nsid w:val="70836196"/>
    <w:multiLevelType w:val="hybridMultilevel"/>
    <w:lvl w:ilvl="0">
      <w:lvlJc w:val="left"/>
      <w:lvlText w:val="%1."/>
      <w:numFmt w:val="upperLetter"/>
      <w:start w:val="4"/>
    </w:lvl>
  </w:abstractNum>
  <w:abstractNum w:abstractNumId="126">
    <w:nsid w:val="539F7F12"/>
    <w:multiLevelType w:val="hybridMultilevel"/>
    <w:lvl w:ilvl="0">
      <w:lvlJc w:val="left"/>
      <w:lvlText w:val="•"/>
      <w:numFmt w:val="bullet"/>
      <w:start w:val="1"/>
    </w:lvl>
  </w:abstractNum>
  <w:abstractNum w:abstractNumId="127">
    <w:nsid w:val="2817E7EC"/>
    <w:multiLevelType w:val="hybridMultilevel"/>
    <w:lvl w:ilvl="0">
      <w:lvlJc w:val="left"/>
      <w:lvlText w:val="%1."/>
      <w:numFmt w:val="upperLetter"/>
      <w:start w:val="1"/>
    </w:lvl>
  </w:abstractNum>
  <w:abstractNum w:abstractNumId="128">
    <w:nsid w:val="71482545"/>
    <w:multiLevelType w:val="hybridMultilevel"/>
    <w:lvl w:ilvl="0">
      <w:lvlJc w:val="left"/>
      <w:lvlText w:val="%1."/>
      <w:numFmt w:val="upperLetter"/>
      <w:start w:val="2"/>
    </w:lvl>
  </w:abstractNum>
  <w:abstractNum w:abstractNumId="129">
    <w:nsid w:val="17D78639"/>
    <w:multiLevelType w:val="hybridMultilevel"/>
    <w:lvl w:ilvl="0">
      <w:lvlJc w:val="left"/>
      <w:lvlText w:val="%1."/>
      <w:numFmt w:val="upperLetter"/>
      <w:start w:val="3"/>
    </w:lvl>
  </w:abstractNum>
  <w:abstractNum w:abstractNumId="130">
    <w:nsid w:val="141D2302"/>
    <w:multiLevelType w:val="hybridMultilevel"/>
    <w:lvl w:ilvl="0">
      <w:lvlJc w:val="left"/>
      <w:lvlText w:val="%1."/>
      <w:numFmt w:val="upperLetter"/>
      <w:start w:val="4"/>
    </w:lvl>
  </w:abstractNum>
  <w:abstractNum w:abstractNumId="131">
    <w:nsid w:val="407168D8"/>
    <w:multiLevelType w:val="hybridMultilevel"/>
    <w:lvl w:ilvl="0">
      <w:lvlJc w:val="left"/>
      <w:lvlText w:val="(%1)"/>
      <w:numFmt w:val="decimal"/>
      <w:start w:val="1"/>
    </w:lvl>
  </w:abstractNum>
  <w:abstractNum w:abstractNumId="132">
    <w:nsid w:val="6A1B45E5"/>
    <w:multiLevelType w:val="hybridMultilevel"/>
    <w:lvl w:ilvl="0">
      <w:lvlJc w:val="left"/>
      <w:lvlText w:val="•"/>
      <w:numFmt w:val="bullet"/>
      <w:start w:val="1"/>
    </w:lvl>
  </w:abstractNum>
  <w:abstractNum w:abstractNumId="133">
    <w:nsid w:val="567BD50A"/>
    <w:multiLevelType w:val="hybridMultilevel"/>
    <w:lvl w:ilvl="0">
      <w:lvlJc w:val="left"/>
      <w:lvlText w:val="•"/>
      <w:numFmt w:val="bullet"/>
      <w:start w:val="1"/>
    </w:lvl>
  </w:abstractNum>
  <w:abstractNum w:abstractNumId="134">
    <w:nsid w:val="73BBD7F8"/>
    <w:multiLevelType w:val="hybridMultilevel"/>
    <w:lvl w:ilvl="0">
      <w:lvlJc w:val="left"/>
      <w:lvlText w:val="•"/>
      <w:numFmt w:val="bullet"/>
      <w:start w:val="1"/>
    </w:lvl>
  </w:abstractNum>
  <w:abstractNum w:abstractNumId="135">
    <w:nsid w:val="1876589D"/>
    <w:multiLevelType w:val="hybridMultilevel"/>
    <w:lvl w:ilvl="0">
      <w:lvlJc w:val="left"/>
      <w:lvlText w:val="•"/>
      <w:numFmt w:val="bullet"/>
      <w:start w:val="1"/>
    </w:lvl>
  </w:abstractNum>
  <w:abstractNum w:abstractNumId="136">
    <w:nsid w:val="327FAC77"/>
    <w:multiLevelType w:val="hybridMultilevel"/>
    <w:lvl w:ilvl="0">
      <w:lvlJc w:val="left"/>
      <w:lvlText w:val="†"/>
      <w:numFmt w:val="bullet"/>
      <w:start w:val="1"/>
    </w:lvl>
  </w:abstractNum>
  <w:abstractNum w:abstractNumId="137">
    <w:nsid w:val="5A606509"/>
    <w:multiLevelType w:val="hybridMultilevel"/>
    <w:lvl w:ilvl="0">
      <w:lvlJc w:val="left"/>
      <w:lvlText w:val="+"/>
      <w:numFmt w:val="bullet"/>
      <w:start w:val="1"/>
    </w:lvl>
  </w:abstractNum>
  <w:abstractNum w:abstractNumId="138">
    <w:nsid w:val="6F38E6D1"/>
    <w:multiLevelType w:val="hybridMultilevel"/>
    <w:lvl w:ilvl="0">
      <w:lvlJc w:val="left"/>
      <w:lvlText w:val="•"/>
      <w:numFmt w:val="bullet"/>
      <w:start w:val="1"/>
    </w:lvl>
  </w:abstractNum>
  <w:abstractNum w:abstractNumId="139">
    <w:nsid w:val="46111BA5"/>
    <w:multiLevelType w:val="hybridMultilevel"/>
    <w:lvl w:ilvl="0">
      <w:lvlJc w:val="left"/>
      <w:lvlText w:val="•"/>
      <w:numFmt w:val="bullet"/>
      <w:start w:val="1"/>
    </w:lvl>
  </w:abstractNum>
  <w:abstractNum w:abstractNumId="140">
    <w:nsid w:val="5E963896"/>
    <w:multiLevelType w:val="hybridMultilevel"/>
    <w:lvl w:ilvl="0">
      <w:lvlJc w:val="left"/>
      <w:lvlText w:val="•"/>
      <w:numFmt w:val="bullet"/>
      <w:start w:val="1"/>
    </w:lvl>
  </w:abstractNum>
  <w:abstractNum w:abstractNumId="141">
    <w:nsid w:val="775BA7C1"/>
    <w:multiLevelType w:val="hybridMultilevel"/>
    <w:lvl w:ilvl="0">
      <w:lvlJc w:val="left"/>
      <w:lvlText w:val="•"/>
      <w:numFmt w:val="bullet"/>
      <w:start w:val="1"/>
    </w:lvl>
  </w:abstractNum>
  <w:abstractNum w:abstractNumId="142">
    <w:nsid w:val="1DD6D6F4"/>
    <w:multiLevelType w:val="hybridMultilevel"/>
    <w:lvl w:ilvl="0">
      <w:lvlJc w:val="left"/>
      <w:lvlText w:val="%1."/>
      <w:numFmt w:val="decimal"/>
      <w:start w:val="2"/>
    </w:lvl>
    <w:lvl w:ilvl="1">
      <w:lvlJc w:val="left"/>
      <w:lvlText w:val="•"/>
      <w:numFmt w:val="bullet"/>
      <w:start w:val="1"/>
    </w:lvl>
  </w:abstractNum>
  <w:abstractNum w:abstractNumId="143">
    <w:nsid w:val="769A091F"/>
    <w:multiLevelType w:val="hybridMultilevel"/>
    <w:lvl w:ilvl="0">
      <w:lvlJc w:val="left"/>
      <w:lvlText w:val="%1."/>
      <w:numFmt w:val="decimal"/>
      <w:start w:val="8"/>
    </w:lvl>
  </w:abstractNum>
  <w:abstractNum w:abstractNumId="144">
    <w:nsid w:val="4695AE95"/>
    <w:multiLevelType w:val="hybridMultilevel"/>
    <w:lvl w:ilvl="0">
      <w:lvlJc w:val="left"/>
      <w:lvlText w:val="%1."/>
      <w:numFmt w:val="decimal"/>
      <w:start w:val="1"/>
    </w:lvl>
  </w:abstractNum>
  <w:abstractNum w:abstractNumId="145">
    <w:nsid w:val="777A4EAA"/>
    <w:multiLevelType w:val="hybridMultilevel"/>
    <w:lvl w:ilvl="0">
      <w:lvlJc w:val="left"/>
      <w:lvlText w:val="•"/>
      <w:numFmt w:val="bullet"/>
      <w:start w:val="1"/>
    </w:lvl>
  </w:abstractNum>
  <w:abstractNum w:abstractNumId="146">
    <w:nsid w:val="3F48B982"/>
    <w:multiLevelType w:val="hybridMultilevel"/>
    <w:lvl w:ilvl="0">
      <w:lvlJc w:val="left"/>
      <w:lvlText w:val="•"/>
      <w:numFmt w:val="bullet"/>
      <w:start w:val="1"/>
    </w:lvl>
  </w:abstractNum>
  <w:abstractNum w:abstractNumId="147">
    <w:nsid w:val="46BA8FCA"/>
    <w:multiLevelType w:val="hybridMultilevel"/>
    <w:lvl w:ilvl="0">
      <w:lvlJc w:val="left"/>
      <w:lvlText w:val="(%1)"/>
      <w:numFmt w:val="lowerRoman"/>
      <w:start w:val="3"/>
    </w:lvl>
  </w:abstractNum>
  <w:abstractNum w:abstractNumId="148">
    <w:nsid w:val="7835626C"/>
    <w:multiLevelType w:val="hybridMultilevel"/>
    <w:lvl w:ilvl="0">
      <w:lvlJc w:val="left"/>
      <w:lvlText w:val="(%1)"/>
      <w:numFmt w:val="lowerLetter"/>
      <w:start w:val="1"/>
    </w:lvl>
  </w:abstractNum>
  <w:abstractNum w:abstractNumId="149">
    <w:nsid w:val="665ACA49"/>
    <w:multiLevelType w:val="hybridMultilevel"/>
    <w:lvl w:ilvl="0">
      <w:lvlJc w:val="left"/>
      <w:lvlText w:val="(%1)"/>
      <w:numFmt w:val="lowerLetter"/>
      <w:start w:val="2"/>
    </w:lvl>
  </w:abstractNum>
  <w:abstractNum w:abstractNumId="150">
    <w:nsid w:val="6835B2AE"/>
    <w:multiLevelType w:val="hybridMultilevel"/>
    <w:lvl w:ilvl="0">
      <w:lvlJc w:val="left"/>
      <w:lvlText w:val="(%1)"/>
      <w:numFmt w:val="lowerLetter"/>
      <w:start w:val="3"/>
    </w:lvl>
  </w:abstractNum>
  <w:abstractNum w:abstractNumId="151">
    <w:nsid w:val="4C187C90"/>
    <w:multiLevelType w:val="hybridMultilevel"/>
    <w:lvl w:ilvl="0">
      <w:lvlJc w:val="left"/>
      <w:lvlText w:val="(%1)"/>
      <w:numFmt w:val="lowerLetter"/>
      <w:start w:val="1"/>
    </w:lvl>
  </w:abstractNum>
  <w:abstractNum w:abstractNumId="152">
    <w:nsid w:val="541F28CD"/>
    <w:multiLevelType w:val="hybridMultilevel"/>
    <w:lvl w:ilvl="0">
      <w:lvlJc w:val="left"/>
      <w:lvlText w:val="(%1)"/>
      <w:numFmt w:val="lowerLetter"/>
      <w:start w:val="3"/>
    </w:lvl>
  </w:abstractNum>
  <w:abstractNum w:abstractNumId="153">
    <w:nsid w:val="7F65FD16"/>
    <w:multiLevelType w:val="hybridMultilevel"/>
    <w:lvl w:ilvl="0">
      <w:lvlJc w:val="left"/>
      <w:lvlText w:val="(%1)"/>
      <w:numFmt w:val="decimal"/>
      <w:start w:val="1"/>
    </w:lvl>
  </w:abstractNum>
  <w:abstractNum w:abstractNumId="154">
    <w:nsid w:val="77C9FD68"/>
    <w:multiLevelType w:val="hybridMultilevel"/>
    <w:lvl w:ilvl="0">
      <w:lvlJc w:val="left"/>
      <w:lvlText w:val="(%1)"/>
      <w:numFmt w:val="decimal"/>
      <w:start w:val="2"/>
    </w:lvl>
  </w:abstractNum>
  <w:abstractNum w:abstractNumId="155">
    <w:nsid w:val="298A92BA"/>
    <w:multiLevelType w:val="hybridMultilevel"/>
    <w:lvl w:ilvl="0">
      <w:lvlJc w:val="left"/>
      <w:lvlText w:val="%1"/>
      <w:numFmt w:val="lowerLetter"/>
      <w:start w:val="1"/>
    </w:lvl>
    <w:lvl w:ilvl="1">
      <w:lvlJc w:val="left"/>
      <w:lvlText w:val="(%2)"/>
      <w:numFmt w:val="decimal"/>
      <w:start w:val="3"/>
    </w:lvl>
  </w:abstractNum>
  <w:abstractNum w:abstractNumId="156">
    <w:nsid w:val="6FE95EAC"/>
    <w:multiLevelType w:val="hybridMultilevel"/>
    <w:lvl w:ilvl="0">
      <w:lvlJc w:val="left"/>
      <w:lvlText w:val="(%1)"/>
      <w:numFmt w:val="lowerLetter"/>
      <w:start w:val="25"/>
    </w:lvl>
    <w:lvl w:ilvl="1">
      <w:lvlJc w:val="left"/>
      <w:lvlText w:val="%2"/>
      <w:numFmt w:val="decimal"/>
      <w:start w:val="1"/>
    </w:lvl>
  </w:abstractNum>
  <w:abstractNum w:abstractNumId="157">
    <w:nsid w:val="4B697C7A"/>
    <w:multiLevelType w:val="hybridMultilevel"/>
    <w:lvl w:ilvl="0">
      <w:lvlJc w:val="left"/>
      <w:lvlText w:val="(%1)"/>
      <w:numFmt w:val="lowerRoman"/>
      <w:start w:val="2"/>
    </w:lvl>
    <w:lvl w:ilvl="1">
      <w:lvlJc w:val="left"/>
      <w:lvlText w:val="(%2)"/>
      <w:numFmt w:val="decimal"/>
      <w:start w:val="4"/>
    </w:lvl>
  </w:abstractNum>
  <w:abstractNum w:abstractNumId="158">
    <w:nsid w:val="51A27AA6"/>
    <w:multiLevelType w:val="hybridMultilevel"/>
    <w:lvl w:ilvl="0">
      <w:lvlJc w:val="left"/>
      <w:lvlText w:val="(%1)"/>
      <w:numFmt w:val="decimal"/>
      <w:start w:val="5"/>
    </w:lvl>
  </w:abstractNum>
  <w:abstractNum w:abstractNumId="159">
    <w:nsid w:val="613183F2"/>
    <w:multiLevelType w:val="hybridMultilevel"/>
    <w:lvl w:ilvl="0">
      <w:lvlJc w:val="left"/>
      <w:lvlText w:val="(%1)"/>
      <w:numFmt w:val="decimal"/>
      <w:start w:val="6"/>
    </w:lvl>
  </w:abstractNum>
  <w:abstractNum w:abstractNumId="160">
    <w:nsid w:val="634102B4"/>
    <w:multiLevelType w:val="hybridMultilevel"/>
    <w:lvl w:ilvl="0">
      <w:lvlJc w:val="left"/>
      <w:lvlText w:val="(%1)"/>
      <w:numFmt w:val="decimal"/>
      <w:start w:val="9"/>
    </w:lvl>
  </w:abstractNum>
  <w:abstractNum w:abstractNumId="161">
    <w:nsid w:val="65BF9DA8"/>
    <w:multiLevelType w:val="hybridMultilevel"/>
    <w:lvl w:ilvl="0">
      <w:lvlJc w:val="left"/>
      <w:lvlText w:val="(%1)"/>
      <w:numFmt w:val="decimal"/>
      <w:start w:val="11"/>
    </w:lvl>
    <w:lvl w:ilvl="1">
      <w:lvlJc w:val="left"/>
      <w:lvlText w:val="(%2)"/>
      <w:numFmt w:val="lowerRoman"/>
      <w:start w:val="1"/>
    </w:lvl>
  </w:abstractNum>
  <w:abstractNum w:abstractNumId="162">
    <w:nsid w:val="21A2ECCA"/>
    <w:multiLevelType w:val="hybridMultilevel"/>
    <w:lvl w:ilvl="0">
      <w:lvlJc w:val="left"/>
      <w:lvlText w:val="(%1)"/>
      <w:numFmt w:val="lowerRoman"/>
      <w:start w:val="6"/>
    </w:lvl>
  </w:abstractNum>
  <w:abstractNum w:abstractNumId="163">
    <w:nsid w:val="4D5C4899"/>
    <w:multiLevelType w:val="hybridMultilevel"/>
    <w:lvl w:ilvl="0">
      <w:lvlJc w:val="left"/>
      <w:lvlText w:val="(%1)"/>
      <w:numFmt w:val="lowerLetter"/>
      <w:start w:val="1"/>
    </w:lvl>
  </w:abstractNum>
  <w:abstractNum w:abstractNumId="164">
    <w:nsid w:val="3C3B72B2"/>
    <w:multiLevelType w:val="hybridMultilevel"/>
    <w:lvl w:ilvl="0">
      <w:lvlJc w:val="left"/>
      <w:lvlText w:val="(%1)"/>
      <w:numFmt w:val="decimal"/>
      <w:start w:val="12"/>
    </w:lvl>
  </w:abstractNum>
  <w:abstractNum w:abstractNumId="165">
    <w:nsid w:val="155EC4C2"/>
    <w:multiLevelType w:val="hybridMultilevel"/>
    <w:lvl w:ilvl="0">
      <w:lvlJc w:val="left"/>
      <w:lvlText w:val="%1"/>
      <w:numFmt w:val="lowerRoman"/>
      <w:start w:val="1"/>
    </w:lvl>
    <w:lvl w:ilvl="1">
      <w:lvlJc w:val="left"/>
      <w:lvlText w:val="(%2)"/>
      <w:numFmt w:val="decimal"/>
      <w:start w:val="13"/>
    </w:lvl>
  </w:abstractNum>
  <w:abstractNum w:abstractNumId="166">
    <w:nsid w:val="65D2A137"/>
    <w:multiLevelType w:val="hybridMultilevel"/>
    <w:lvl w:ilvl="0">
      <w:lvlJc w:val="left"/>
      <w:lvlText w:val="(%1)"/>
      <w:numFmt w:val="lowerRoman"/>
      <w:start w:val="3"/>
    </w:lvl>
    <w:lvl w:ilvl="1">
      <w:lvlJc w:val="left"/>
      <w:lvlText w:val="(%2)"/>
      <w:numFmt w:val="decimal"/>
      <w:start w:val="14"/>
    </w:lvl>
  </w:abstractNum>
  <w:abstractNum w:abstractNumId="167">
    <w:nsid w:val="6EBB1F2A"/>
    <w:multiLevelType w:val="hybridMultilevel"/>
    <w:lvl w:ilvl="0">
      <w:lvlJc w:val="left"/>
      <w:lvlText w:val="(%1)"/>
      <w:numFmt w:val="decimal"/>
      <w:start w:val="15"/>
    </w:lvl>
  </w:abstractNum>
  <w:abstractNum w:abstractNumId="168">
    <w:nsid w:val="6FBF29CB"/>
    <w:multiLevelType w:val="hybridMultilevel"/>
    <w:lvl w:ilvl="0">
      <w:lvlJc w:val="left"/>
      <w:lvlText w:val="(%1)"/>
      <w:numFmt w:val="lowerLetter"/>
      <w:start w:val="2"/>
    </w:lvl>
  </w:abstractNum>
  <w:abstractNum w:abstractNumId="169">
    <w:nsid w:val="550B8808"/>
    <w:multiLevelType w:val="hybridMultilevel"/>
    <w:lvl w:ilvl="0">
      <w:lvlJc w:val="left"/>
      <w:lvlText w:val="(%1)"/>
      <w:numFmt w:val="lowerLetter"/>
      <w:start w:val="4"/>
    </w:lvl>
  </w:abstractNum>
  <w:abstractNum w:abstractNumId="170">
    <w:nsid w:val="34CC3ACF"/>
    <w:multiLevelType w:val="hybridMultilevel"/>
    <w:lvl w:ilvl="0">
      <w:lvlJc w:val="left"/>
      <w:lvlText w:val="(%1)"/>
      <w:numFmt w:val="lowerLetter"/>
      <w:start w:val="5"/>
    </w:lvl>
  </w:abstractNum>
  <w:abstractNum w:abstractNumId="171">
    <w:nsid w:val="4E556261"/>
    <w:multiLevelType w:val="hybridMultilevel"/>
    <w:lvl w:ilvl="0">
      <w:lvlJc w:val="left"/>
      <w:lvlText w:val="(%1)"/>
      <w:numFmt w:val="decimal"/>
      <w:start w:val="16"/>
    </w:lvl>
  </w:abstractNum>
  <w:abstractNum w:abstractNumId="172">
    <w:nsid w:val="4C672FC9"/>
    <w:multiLevelType w:val="hybridMultilevel"/>
    <w:lvl w:ilvl="0">
      <w:lvlJc w:val="left"/>
      <w:lvlText w:val="(%1)"/>
      <w:numFmt w:val="decimal"/>
      <w:start w:val="18"/>
    </w:lvl>
  </w:abstractNum>
  <w:abstractNum w:abstractNumId="173">
    <w:nsid w:val="52A311C3"/>
    <w:multiLevelType w:val="hybridMultilevel"/>
    <w:lvl w:ilvl="0">
      <w:lvlJc w:val="left"/>
      <w:lvlText w:val="(%1)"/>
      <w:numFmt w:val="decimal"/>
      <w:start w:val="19"/>
    </w:lvl>
  </w:abstractNum>
  <w:abstractNum w:abstractNumId="174">
    <w:nsid w:val="44EF6B80"/>
    <w:multiLevelType w:val="hybridMultilevel"/>
    <w:lvl w:ilvl="0">
      <w:lvlJc w:val="left"/>
      <w:lvlText w:val="(%1)"/>
      <w:numFmt w:val="decimal"/>
      <w:start w:val="21"/>
    </w:lvl>
  </w:abstractNum>
  <w:abstractNum w:abstractNumId="175">
    <w:nsid w:val="12FCDE5E"/>
    <w:multiLevelType w:val="hybridMultilevel"/>
    <w:lvl w:ilvl="0">
      <w:lvlJc w:val="left"/>
      <w:lvlText w:val="(%1)"/>
      <w:numFmt w:val="decimal"/>
      <w:start w:val="22"/>
    </w:lvl>
  </w:abstractNum>
  <w:abstractNum w:abstractNumId="176">
    <w:nsid w:val="4A1D606E"/>
    <w:multiLevelType w:val="hybridMultilevel"/>
    <w:lvl w:ilvl="0">
      <w:lvlJc w:val="left"/>
      <w:lvlText w:val="(%1)"/>
      <w:numFmt w:val="lowerRoman"/>
      <w:start w:val="1"/>
    </w:lvl>
    <w:lvl w:ilvl="1">
      <w:lvlJc w:val="left"/>
      <w:lvlText w:val="(%2)"/>
      <w:numFmt w:val="decimal"/>
      <w:start w:val="24"/>
    </w:lvl>
  </w:abstractNum>
  <w:abstractNum w:abstractNumId="177">
    <w:nsid w:val="4382503"/>
    <w:multiLevelType w:val="hybridMultilevel"/>
    <w:lvl w:ilvl="0">
      <w:lvlJc w:val="left"/>
      <w:lvlText w:val="(%1)"/>
      <w:numFmt w:val="lowerRoman"/>
      <w:start w:val="3"/>
    </w:lvl>
    <w:lvl w:ilvl="1">
      <w:lvlJc w:val="left"/>
      <w:lvlText w:val="(%2)"/>
      <w:numFmt w:val="decimal"/>
      <w:start w:val="25"/>
    </w:lvl>
  </w:abstractNum>
  <w:abstractNum w:abstractNumId="178">
    <w:nsid w:val="59B76E28"/>
    <w:multiLevelType w:val="hybridMultilevel"/>
    <w:lvl w:ilvl="0">
      <w:lvlJc w:val="left"/>
      <w:lvlText w:val="%1."/>
      <w:numFmt w:val="decimal"/>
      <w:start w:val="1"/>
    </w:lvl>
  </w:abstractNum>
  <w:abstractNum w:abstractNumId="179">
    <w:nsid w:val="4252C2DA"/>
    <w:multiLevelType w:val="hybridMultilevel"/>
    <w:lvl w:ilvl="0">
      <w:lvlJc w:val="left"/>
      <w:lvlText w:val="(%1)"/>
      <w:numFmt w:val="lowerLetter"/>
      <w:start w:val="1"/>
    </w:lvl>
  </w:abstractNum>
  <w:abstractNum w:abstractNumId="180">
    <w:nsid w:val="6A92EF4C"/>
    <w:multiLevelType w:val="hybridMultilevel"/>
    <w:lvl w:ilvl="0">
      <w:lvlJc w:val="left"/>
      <w:lvlText w:val="%1."/>
      <w:numFmt w:val="decimal"/>
      <w:start w:val="2"/>
    </w:lvl>
  </w:abstractNum>
  <w:abstractNum w:abstractNumId="181">
    <w:nsid w:val="41ED20D7"/>
    <w:multiLevelType w:val="hybridMultilevel"/>
    <w:lvl w:ilvl="0">
      <w:lvlJc w:val="left"/>
      <w:lvlText w:val="(%1)"/>
      <w:numFmt w:val="lowerLetter"/>
      <w:start w:val="1"/>
    </w:lvl>
  </w:abstractNum>
  <w:abstractNum w:abstractNumId="182">
    <w:nsid w:val="E6B3F6A"/>
    <w:multiLevelType w:val="hybridMultilevel"/>
    <w:lvl w:ilvl="0">
      <w:lvlJc w:val="left"/>
      <w:lvlText w:val="(%1)"/>
      <w:numFmt w:val="lowerLetter"/>
      <w:start w:val="1"/>
    </w:lvl>
    <w:lvl w:ilvl="1">
      <w:lvlJc w:val="left"/>
      <w:lvlText w:val="(%2)"/>
      <w:numFmt w:val="lowerRoman"/>
      <w:start w:val="1"/>
    </w:lvl>
  </w:abstractNum>
  <w:abstractNum w:abstractNumId="183">
    <w:nsid w:val="3EB21819"/>
    <w:multiLevelType w:val="hybridMultilevel"/>
    <w:lvl w:ilvl="0">
      <w:lvlJc w:val="left"/>
      <w:lvlText w:val="%1"/>
      <w:numFmt w:val="lowerLetter"/>
      <w:start w:val="1"/>
    </w:lvl>
    <w:lvl w:ilvl="1">
      <w:lvlJc w:val="left"/>
      <w:lvlText w:val="(%2)"/>
      <w:numFmt w:val="lowerRoman"/>
      <w:start w:val="3"/>
    </w:lvl>
  </w:abstractNum>
  <w:abstractNum w:abstractNumId="184">
    <w:nsid w:val="41531DED"/>
    <w:multiLevelType w:val="hybridMultilevel"/>
    <w:lvl w:ilvl="0">
      <w:lvlJc w:val="left"/>
      <w:lvlText w:val="(%1)"/>
      <w:numFmt w:val="lowerLetter"/>
      <w:start w:val="2"/>
    </w:lvl>
    <w:lvl w:ilvl="1">
      <w:lvlJc w:val="left"/>
      <w:lvlText w:val="(%2)"/>
      <w:numFmt w:val="lowerRoman"/>
      <w:start w:val="1"/>
    </w:lvl>
  </w:abstractNum>
  <w:abstractNum w:abstractNumId="185">
    <w:nsid w:val="6353CD2"/>
    <w:multiLevelType w:val="hybridMultilevel"/>
    <w:lvl w:ilvl="0">
      <w:lvlJc w:val="left"/>
      <w:lvlText w:val="%1"/>
      <w:numFmt w:val="decimal"/>
      <w:start w:val="1"/>
    </w:lvl>
    <w:lvl w:ilvl="1">
      <w:lvlJc w:val="left"/>
      <w:lvlText w:val="(%2)"/>
      <w:numFmt w:val="lowerLetter"/>
      <w:start w:val="1"/>
    </w:lvl>
  </w:abstractNum>
  <w:abstractNum w:abstractNumId="186">
    <w:nsid w:val="683CAAD3"/>
    <w:multiLevelType w:val="hybridMultilevel"/>
    <w:lvl w:ilvl="0">
      <w:lvlJc w:val="left"/>
      <w:lvlText w:val="%1."/>
      <w:numFmt w:val="decimal"/>
      <w:start w:val="3"/>
    </w:lvl>
    <w:lvl w:ilvl="1">
      <w:lvlJc w:val="left"/>
      <w:lvlText w:val="%2"/>
      <w:numFmt w:val="lowerLetter"/>
      <w:start w:val="1"/>
    </w:lvl>
  </w:abstractNum>
  <w:abstractNum w:abstractNumId="187">
    <w:nsid w:val="313C7C99"/>
    <w:multiLevelType w:val="hybridMultilevel"/>
    <w:lvl w:ilvl="0">
      <w:lvlJc w:val="left"/>
      <w:lvlText w:val="(%1)"/>
      <w:numFmt w:val="lowerLetter"/>
      <w:start w:val="1"/>
    </w:lvl>
  </w:abstractNum>
  <w:abstractNum w:abstractNumId="188">
    <w:nsid w:val="519EB94C"/>
    <w:multiLevelType w:val="hybridMultilevel"/>
    <w:lvl w:ilvl="0">
      <w:lvlJc w:val="left"/>
      <w:lvlText w:val="%1."/>
      <w:numFmt w:val="decimal"/>
      <w:start w:val="4"/>
    </w:lvl>
  </w:abstractNum>
  <w:abstractNum w:abstractNumId="189">
    <w:nsid w:val="39DF2579"/>
    <w:multiLevelType w:val="hybridMultilevel"/>
    <w:lvl w:ilvl="0">
      <w:lvlJc w:val="left"/>
      <w:lvlText w:val="%1."/>
      <w:numFmt w:val="decimal"/>
      <w:start w:val="5"/>
    </w:lvl>
  </w:abstractNum>
  <w:abstractNum w:abstractNumId="190">
    <w:nsid w:val="126E008B"/>
    <w:multiLevelType w:val="hybridMultilevel"/>
    <w:lvl w:ilvl="0">
      <w:lvlJc w:val="left"/>
      <w:lvlText w:val="(%1)"/>
      <w:numFmt w:val="lowerLetter"/>
      <w:start w:val="1"/>
    </w:lvl>
  </w:abstractNum>
  <w:abstractNum w:abstractNumId="191">
    <w:nsid w:val="34DFBC00"/>
    <w:multiLevelType w:val="hybridMultilevel"/>
    <w:lvl w:ilvl="0">
      <w:lvlJc w:val="left"/>
      <w:lvlText w:val="(%1)"/>
      <w:numFmt w:val="lowerLetter"/>
      <w:start w:val="1"/>
    </w:lvl>
  </w:abstractNum>
  <w:abstractNum w:abstractNumId="192">
    <w:nsid w:val="1F9EC322"/>
    <w:multiLevelType w:val="hybridMultilevel"/>
    <w:lvl w:ilvl="0">
      <w:lvlJc w:val="left"/>
      <w:lvlText w:val="%1."/>
      <w:numFmt w:val="decimal"/>
      <w:start w:val="6"/>
    </w:lvl>
  </w:abstractNum>
  <w:abstractNum w:abstractNumId="193">
    <w:nsid w:val="3410ED56"/>
    <w:multiLevelType w:val="hybridMultilevel"/>
    <w:lvl w:ilvl="0">
      <w:lvlJc w:val="left"/>
      <w:lvlText w:val="(%1)"/>
      <w:numFmt w:val="lowerLetter"/>
      <w:start w:val="1"/>
    </w:lvl>
  </w:abstractNum>
  <w:abstractNum w:abstractNumId="194">
    <w:nsid w:val="23C049A"/>
    <w:multiLevelType w:val="hybridMultilevel"/>
    <w:lvl w:ilvl="0">
      <w:lvlJc w:val="left"/>
      <w:lvlText w:val="(%1)"/>
      <w:numFmt w:val="lowerLetter"/>
      <w:start w:val="1"/>
    </w:lvl>
  </w:abstractNum>
  <w:abstractNum w:abstractNumId="195">
    <w:nsid w:val="5BDA35D4"/>
    <w:multiLevelType w:val="hybridMultilevel"/>
    <w:lvl w:ilvl="0">
      <w:lvlJc w:val="left"/>
      <w:lvlText w:val="(%1)"/>
      <w:numFmt w:val="lowerLetter"/>
      <w:start w:val="1"/>
    </w:lvl>
    <w:lvl w:ilvl="1">
      <w:lvlJc w:val="left"/>
      <w:lvlText w:val="(%2)"/>
      <w:numFmt w:val="lowerRoman"/>
      <w:start w:val="1"/>
    </w:lvl>
  </w:abstractNum>
  <w:abstractNum w:abstractNumId="196">
    <w:nsid w:val="496FB218"/>
    <w:multiLevelType w:val="hybridMultilevel"/>
    <w:lvl w:ilvl="0">
      <w:lvlJc w:val="left"/>
      <w:lvlText w:val="(%1)"/>
      <w:numFmt w:val="lowerLetter"/>
      <w:start w:val="2"/>
    </w:lvl>
  </w:abstractNum>
  <w:abstractNum w:abstractNumId="197">
    <w:nsid w:val="680EA5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8">
    <w:nsid w:val="4A9554F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9">
    <w:nsid w:val="392EDBE4"/>
    <w:multiLevelType w:val="hybridMultilevel"/>
    <w:lvl w:ilvl="0">
      <w:lvlJc w:val="left"/>
      <w:lvlText w:val="(%1)"/>
      <w:numFmt w:val="lowerLetter"/>
      <w:start w:val="1"/>
    </w:lvl>
  </w:abstractNum>
  <w:abstractNum w:abstractNumId="200">
    <w:nsid w:val="3D1A2DD9"/>
    <w:multiLevelType w:val="hybridMultilevel"/>
    <w:lvl w:ilvl="0">
      <w:lvlJc w:val="left"/>
      <w:lvlText w:val="(%1)"/>
      <w:numFmt w:val="lowerLetter"/>
      <w:start w:val="1"/>
    </w:lvl>
  </w:abstractNum>
  <w:abstractNum w:abstractNumId="201">
    <w:nsid w:val="7F618FCD"/>
    <w:multiLevelType w:val="hybridMultilevel"/>
    <w:lvl w:ilvl="0">
      <w:lvlJc w:val="left"/>
      <w:lvlText w:val="(%1)"/>
      <w:numFmt w:val="lowerLetter"/>
      <w:start w:val="3"/>
    </w:lvl>
  </w:abstractNum>
  <w:abstractNum w:abstractNumId="202">
    <w:nsid w:val="7843E45"/>
    <w:multiLevelType w:val="hybridMultilevel"/>
    <w:lvl w:ilvl="0">
      <w:lvlJc w:val="left"/>
      <w:lvlText w:val="%1."/>
      <w:numFmt w:val="decimal"/>
      <w:start w:val="8"/>
    </w:lvl>
  </w:abstractNum>
  <w:abstractNum w:abstractNumId="203">
    <w:nsid w:val="9815DA3"/>
    <w:multiLevelType w:val="hybridMultilevel"/>
    <w:lvl w:ilvl="0">
      <w:lvlJc w:val="left"/>
      <w:lvlText w:val="(%1)"/>
      <w:numFmt w:val="lowerLetter"/>
      <w:start w:val="1"/>
    </w:lvl>
    <w:lvl w:ilvl="1">
      <w:lvlJc w:val="left"/>
      <w:lvlText w:val="(%2)"/>
      <w:numFmt w:val="lowerRoman"/>
      <w:start w:val="1"/>
    </w:lvl>
  </w:abstractNum>
  <w:abstractNum w:abstractNumId="204">
    <w:nsid w:val="5204A191"/>
    <w:multiLevelType w:val="hybridMultilevel"/>
    <w:lvl w:ilvl="0">
      <w:lvlJc w:val="left"/>
      <w:lvlText w:val="(%1)"/>
      <w:numFmt w:val="lowerLetter"/>
      <w:start w:val="2"/>
    </w:lvl>
  </w:abstractNum>
  <w:abstractNum w:abstractNumId="205">
    <w:nsid w:val="4C73A9C6"/>
    <w:multiLevelType w:val="hybridMultilevel"/>
    <w:lvl w:ilvl="0">
      <w:lvlJc w:val="left"/>
      <w:lvlText w:val="(%1)"/>
      <w:numFmt w:val="lowerLetter"/>
      <w:start w:val="1"/>
    </w:lvl>
  </w:abstractNum>
  <w:abstractNum w:abstractNumId="206">
    <w:nsid w:val="1C7E3C01"/>
    <w:multiLevelType w:val="hybridMultilevel"/>
    <w:lvl w:ilvl="0">
      <w:lvlJc w:val="left"/>
      <w:lvlText w:val="(%1)"/>
      <w:numFmt w:val="lowerLetter"/>
      <w:start w:val="1"/>
    </w:lvl>
  </w:abstractNum>
  <w:abstractNum w:abstractNumId="207">
    <w:nsid w:val="1C2201FF"/>
    <w:multiLevelType w:val="hybridMultilevel"/>
    <w:lvl w:ilvl="0">
      <w:lvlJc w:val="left"/>
      <w:lvlText w:val="%1."/>
      <w:numFmt w:val="decimal"/>
      <w:start w:val="9"/>
    </w:lvl>
  </w:abstractNum>
  <w:abstractNum w:abstractNumId="208">
    <w:nsid w:val="50ABCEC9"/>
    <w:multiLevelType w:val="hybridMultilevel"/>
    <w:lvl w:ilvl="0">
      <w:lvlJc w:val="left"/>
      <w:lvlText w:val="%1."/>
      <w:numFmt w:val="decimal"/>
      <w:start w:val="10"/>
    </w:lvl>
  </w:abstractNum>
  <w:abstractNum w:abstractNumId="209">
    <w:nsid w:val="7635AA2A"/>
    <w:multiLevelType w:val="hybridMultilevel"/>
    <w:lvl w:ilvl="0">
      <w:lvlJc w:val="left"/>
      <w:lvlText w:val="(%1)"/>
      <w:numFmt w:val="lowerLetter"/>
      <w:start w:val="1"/>
    </w:lvl>
  </w:abstractNum>
  <w:abstractNum w:abstractNumId="210">
    <w:nsid w:val="5E74C4D9"/>
    <w:multiLevelType w:val="hybridMultilevel"/>
    <w:lvl w:ilvl="0">
      <w:lvlJc w:val="left"/>
      <w:lvlText w:val="(%1)"/>
      <w:numFmt w:val="lowerLetter"/>
      <w:start w:val="1"/>
    </w:lvl>
  </w:abstractNum>
  <w:abstractNum w:abstractNumId="211">
    <w:nsid w:val="3B3EBE15"/>
    <w:multiLevelType w:val="hybridMultilevel"/>
    <w:lvl w:ilvl="0">
      <w:lvlJc w:val="left"/>
      <w:lvlText w:val="%1."/>
      <w:numFmt w:val="decimal"/>
      <w:start w:val="11"/>
    </w:lvl>
  </w:abstractNum>
  <w:abstractNum w:abstractNumId="212">
    <w:nsid w:val="3822CB01"/>
    <w:multiLevelType w:val="hybridMultilevel"/>
    <w:lvl w:ilvl="0">
      <w:lvlJc w:val="left"/>
      <w:lvlText w:val="(%1)"/>
      <w:numFmt w:val="lowerLetter"/>
      <w:start w:val="1"/>
    </w:lvl>
  </w:abstractNum>
  <w:abstractNum w:abstractNumId="213">
    <w:nsid w:val="6CE00443"/>
    <w:multiLevelType w:val="hybridMultilevel"/>
    <w:lvl w:ilvl="0">
      <w:lvlJc w:val="left"/>
      <w:lvlText w:val="%1."/>
      <w:numFmt w:val="decimal"/>
      <w:start w:val="12"/>
    </w:lvl>
  </w:abstractNum>
  <w:abstractNum w:abstractNumId="214">
    <w:nsid w:val="79F0D62F"/>
    <w:multiLevelType w:val="hybridMultilevel"/>
    <w:lvl w:ilvl="0">
      <w:lvlJc w:val="left"/>
      <w:lvlText w:val="%1."/>
      <w:numFmt w:val="decimal"/>
      <w:start w:val="13"/>
    </w:lvl>
  </w:abstractNum>
  <w:abstractNum w:abstractNumId="215">
    <w:nsid w:val="7975E8EE"/>
    <w:multiLevelType w:val="hybridMultilevel"/>
    <w:lvl w:ilvl="0">
      <w:lvlJc w:val="left"/>
      <w:lvlText w:val="%1."/>
      <w:numFmt w:val="decimal"/>
      <w:start w:val="1"/>
    </w:lvl>
  </w:abstractNum>
  <w:abstractNum w:abstractNumId="216">
    <w:nsid w:val="73154115"/>
    <w:multiLevelType w:val="hybridMultilevel"/>
    <w:lvl w:ilvl="0">
      <w:lvlJc w:val="left"/>
      <w:lvlText w:val="%1."/>
      <w:numFmt w:val="decimal"/>
      <w:start w:val="4"/>
    </w:lvl>
  </w:abstractNum>
  <w:abstractNum w:abstractNumId="217">
    <w:nsid w:val="622D8102"/>
    <w:multiLevelType w:val="hybridMultilevel"/>
    <w:lvl w:ilvl="0">
      <w:lvlJc w:val="left"/>
      <w:lvlText w:val="%1."/>
      <w:numFmt w:val="decimal"/>
      <w:start w:val="7"/>
    </w:lvl>
  </w:abstractNum>
  <w:abstractNum w:abstractNumId="218">
    <w:nsid w:val="2AB26587"/>
    <w:multiLevelType w:val="hybridMultilevel"/>
    <w:lvl w:ilvl="0">
      <w:lvlJc w:val="left"/>
      <w:lvlText w:val="%1."/>
      <w:numFmt w:val="decimal"/>
      <w:start w:val="9"/>
    </w:lvl>
  </w:abstractNum>
  <w:abstractNum w:abstractNumId="219">
    <w:nsid w:val="44B3FA61"/>
    <w:multiLevelType w:val="hybridMultilevel"/>
    <w:lvl w:ilvl="0">
      <w:lvlJc w:val="left"/>
      <w:lvlText w:val="%1."/>
      <w:numFmt w:val="decimal"/>
      <w:start w:val="1"/>
    </w:lvl>
  </w:abstractNum>
  <w:abstractNum w:abstractNumId="220">
    <w:nsid w:val="1C0CA67C"/>
    <w:multiLevelType w:val="hybridMultilevel"/>
    <w:lvl w:ilvl="0">
      <w:lvlJc w:val="left"/>
      <w:lvlText w:val="%1."/>
      <w:numFmt w:val="decimal"/>
      <w:start w:val="1"/>
    </w:lvl>
  </w:abstractNum>
  <w:abstractNum w:abstractNumId="221">
    <w:nsid w:val="3D206613"/>
    <w:multiLevelType w:val="hybridMultilevel"/>
    <w:lvl w:ilvl="0">
      <w:lvlJc w:val="left"/>
      <w:lvlText w:val="(%1)"/>
      <w:numFmt w:val="decimal"/>
      <w:start w:val="1"/>
    </w:lvl>
  </w:abstractNum>
  <w:abstractNum w:abstractNumId="222">
    <w:nsid w:val="7993B662"/>
    <w:multiLevelType w:val="hybridMultilevel"/>
    <w:lvl w:ilvl="0">
      <w:lvlJc w:val="left"/>
      <w:lvlText w:val="%1."/>
      <w:numFmt w:val="upperLetter"/>
      <w:start w:val="1"/>
    </w:lvl>
  </w:abstractNum>
  <w:abstractNum w:abstractNumId="223">
    <w:nsid w:val="3BAB699E"/>
    <w:multiLevelType w:val="hybridMultilevel"/>
    <w:lvl w:ilvl="0">
      <w:lvlJc w:val="left"/>
      <w:lvlText w:val="%1."/>
      <w:numFmt w:val="decimal"/>
      <w:start w:val="1"/>
    </w:lvl>
  </w:abstractNum>
  <w:abstractNum w:abstractNumId="224">
    <w:nsid w:val="71315369"/>
    <w:multiLevelType w:val="hybridMultilevel"/>
    <w:lvl w:ilvl="0">
      <w:lvlJc w:val="left"/>
      <w:lvlText w:val="3"/>
      <w:numFmt w:val="bullet"/>
      <w:start w:val="1"/>
    </w:lvl>
  </w:abstractNum>
  <w:abstractNum w:abstractNumId="225">
    <w:nsid w:val="7BCFBAFC"/>
    <w:multiLevelType w:val="hybridMultilevel"/>
    <w:lvl w:ilvl="0">
      <w:lvlJc w:val="left"/>
      <w:lvlText w:val="%1)"/>
      <w:numFmt w:val="lowerLetter"/>
      <w:start w:val="1"/>
    </w:lvl>
  </w:abstractNum>
  <w:abstractNum w:abstractNumId="226">
    <w:nsid w:val="17859F72"/>
    <w:multiLevelType w:val="hybridMultilevel"/>
    <w:lvl w:ilvl="0">
      <w:lvlJc w:val="left"/>
      <w:lvlText w:val="(%1)"/>
      <w:numFmt w:val="lowerLetter"/>
      <w:start w:val="1"/>
    </w:lvl>
  </w:abstractNum>
  <w:abstractNum w:abstractNumId="227">
    <w:nsid w:val="3AA10581"/>
    <w:multiLevelType w:val="hybridMultilevel"/>
    <w:lvl w:ilvl="0">
      <w:lvlJc w:val="left"/>
      <w:lvlText w:val="%1"/>
      <w:numFmt w:val="decimal"/>
      <w:start w:val="1"/>
    </w:lvl>
    <w:lvl w:ilvl="1">
      <w:lvlJc w:val="left"/>
      <w:lvlText w:val="(%2)"/>
      <w:numFmt w:val="lowerRoman"/>
      <w:start w:val="1"/>
    </w:lvl>
  </w:abstractNum>
  <w:abstractNum w:abstractNumId="228">
    <w:nsid w:val="63DE60CD"/>
    <w:multiLevelType w:val="hybridMultilevel"/>
    <w:lvl w:ilvl="0">
      <w:lvlJc w:val="left"/>
      <w:lvlText w:val="%1."/>
      <w:numFmt w:val="decimal"/>
      <w:start w:val="4"/>
    </w:lvl>
    <w:lvl w:ilvl="1">
      <w:lvlJc w:val="left"/>
      <w:lvlText w:val="%2"/>
      <w:numFmt w:val="lowerRoman"/>
      <w:start w:val="1"/>
    </w:lvl>
  </w:abstractNum>
  <w:abstractNum w:abstractNumId="229">
    <w:nsid w:val="621AF471"/>
    <w:multiLevelType w:val="hybridMultilevel"/>
    <w:lvl w:ilvl="0">
      <w:lvlJc w:val="left"/>
      <w:lvlText w:val="%1."/>
      <w:numFmt w:val="decimal"/>
      <w:start w:val="5"/>
    </w:lvl>
  </w:abstractNum>
  <w:abstractNum w:abstractNumId="230">
    <w:nsid w:val="73CFE165"/>
    <w:multiLevelType w:val="hybridMultilevel"/>
    <w:lvl w:ilvl="0">
      <w:lvlJc w:val="left"/>
      <w:lvlText w:val="%1."/>
      <w:numFmt w:val="decimal"/>
      <w:start w:val="7"/>
    </w:lvl>
  </w:abstractNum>
  <w:abstractNum w:abstractNumId="231">
    <w:nsid w:val="20F88EA6"/>
    <w:multiLevelType w:val="hybridMultilevel"/>
    <w:lvl w:ilvl="0">
      <w:lvlJc w:val="left"/>
      <w:lvlText w:val="%1."/>
      <w:numFmt w:val="decimal"/>
      <w:start w:val="8"/>
    </w:lvl>
  </w:abstractNum>
  <w:abstractNum w:abstractNumId="232">
    <w:nsid w:val="617C843E"/>
    <w:multiLevelType w:val="hybridMultilevel"/>
    <w:lvl w:ilvl="0">
      <w:lvlJc w:val="left"/>
      <w:lvlText w:val="%1"/>
      <w:numFmt w:val="decimal"/>
      <w:start w:val="1"/>
    </w:lvl>
    <w:lvl w:ilvl="1">
      <w:lvlJc w:val="left"/>
      <w:lvlText w:val="☐"/>
      <w:numFmt w:val="bullet"/>
      <w:start w:val="1"/>
    </w:lvl>
  </w:abstractNum>
  <w:abstractNum w:abstractNumId="233">
    <w:nsid w:val="7B541FAB"/>
    <w:multiLevelType w:val="hybridMultilevel"/>
    <w:lvl w:ilvl="0">
      <w:lvlJc w:val="left"/>
      <w:lvlText w:val="2"/>
      <w:numFmt w:val="bullet"/>
      <w:start w:val="1"/>
    </w:lvl>
  </w:abstractNum>
  <w:abstractNum w:abstractNumId="234">
    <w:nsid w:val="2A79EC49"/>
    <w:multiLevelType w:val="hybridMultilevel"/>
    <w:lvl w:ilvl="0">
      <w:lvlJc w:val="left"/>
      <w:lvlText w:val="3"/>
      <w:numFmt w:val="bullet"/>
      <w:start w:val="1"/>
    </w:lvl>
  </w:abstractNum>
  <w:abstractNum w:abstractNumId="235">
    <w:nsid w:val="338125CF"/>
    <w:multiLevelType w:val="hybridMultilevel"/>
    <w:lvl w:ilvl="0">
      <w:lvlJc w:val="left"/>
      <w:lvlText w:val="(%1)"/>
      <w:numFmt w:val="decimal"/>
      <w:start w:val="1"/>
    </w:lvl>
  </w:abstractNum>
  <w:abstractNum w:abstractNumId="236">
    <w:nsid w:val="47C7C971"/>
    <w:multiLevelType w:val="hybridMultilevel"/>
    <w:lvl w:ilvl="0">
      <w:lvlJc w:val="left"/>
      <w:lvlText w:val="%1."/>
      <w:numFmt w:val="upperLetter"/>
      <w:start w:val="1"/>
    </w:lvl>
  </w:abstractNum>
  <w:abstractNum w:abstractNumId="237">
    <w:nsid w:val="46F8284B"/>
    <w:multiLevelType w:val="hybridMultilevel"/>
    <w:lvl w:ilvl="0">
      <w:lvlJc w:val="left"/>
      <w:lvlText w:val="%1."/>
      <w:numFmt w:val="decimal"/>
      <w:start w:val="1"/>
    </w:lvl>
    <w:lvl w:ilvl="1">
      <w:lvlJc w:val="left"/>
      <w:lvlText w:val="%2)"/>
      <w:numFmt w:val="lowerLetter"/>
      <w:start w:val="1"/>
    </w:lvl>
  </w:abstractNum>
  <w:abstractNum w:abstractNumId="238">
    <w:nsid w:val="4FA327CE"/>
    <w:multiLevelType w:val="hybridMultilevel"/>
    <w:lvl w:ilvl="0">
      <w:lvlJc w:val="left"/>
      <w:lvlText w:val="(%1)"/>
      <w:numFmt w:val="lowerLetter"/>
      <w:start w:val="1"/>
    </w:lvl>
  </w:abstractNum>
  <w:abstractNum w:abstractNumId="239">
    <w:nsid w:val="1873983A"/>
    <w:multiLevelType w:val="hybridMultilevel"/>
    <w:lvl w:ilvl="0">
      <w:lvlJc w:val="left"/>
      <w:lvlText w:val="%1"/>
      <w:numFmt w:val="decimal"/>
      <w:start w:val="1"/>
    </w:lvl>
    <w:lvl w:ilvl="1">
      <w:lvlJc w:val="left"/>
      <w:lvlText w:val="(%2)"/>
      <w:numFmt w:val="lowerRoman"/>
      <w:start w:val="1"/>
    </w:lvl>
  </w:abstractNum>
  <w:abstractNum w:abstractNumId="240">
    <w:nsid w:val="3D2DD275"/>
    <w:multiLevelType w:val="hybridMultilevel"/>
    <w:lvl w:ilvl="0">
      <w:lvlJc w:val="left"/>
      <w:lvlText w:val="%1."/>
      <w:numFmt w:val="decimal"/>
      <w:start w:val="4"/>
    </w:lvl>
    <w:lvl w:ilvl="1">
      <w:lvlJc w:val="left"/>
      <w:lvlText w:val="%2"/>
      <w:numFmt w:val="lowerRoman"/>
      <w:start w:val="1"/>
    </w:lvl>
  </w:abstractNum>
  <w:abstractNum w:abstractNumId="241">
    <w:nsid w:val="2E17ECA7"/>
    <w:multiLevelType w:val="hybridMultilevel"/>
    <w:lvl w:ilvl="0">
      <w:lvlJc w:val="left"/>
      <w:lvlText w:val="%1."/>
      <w:numFmt w:val="decimal"/>
      <w:start w:val="5"/>
    </w:lvl>
  </w:abstractNum>
  <w:abstractNum w:abstractNumId="242">
    <w:nsid w:val="53B2564F"/>
    <w:multiLevelType w:val="hybridMultilevel"/>
    <w:lvl w:ilvl="0">
      <w:lvlJc w:val="left"/>
      <w:lvlText w:val="%1."/>
      <w:numFmt w:val="decimal"/>
      <w:start w:val="7"/>
    </w:lvl>
  </w:abstractNum>
  <w:abstractNum w:abstractNumId="243">
    <w:nsid w:val="75509D76"/>
    <w:multiLevelType w:val="hybridMultilevel"/>
    <w:lvl w:ilvl="0">
      <w:lvlJc w:val="left"/>
      <w:lvlText w:val="%1."/>
      <w:numFmt w:val="decimal"/>
      <w:start w:val="8"/>
    </w:lvl>
  </w:abstractNum>
  <w:abstractNum w:abstractNumId="244">
    <w:nsid w:val="1AF7F0EA"/>
    <w:multiLevelType w:val="hybridMultilevel"/>
    <w:lvl w:ilvl="0">
      <w:lvlJc w:val="left"/>
      <w:lvlText w:val="☐"/>
      <w:numFmt w:val="bullet"/>
      <w:start w:val="1"/>
    </w:lvl>
  </w:abstractNum>
  <w:abstractNum w:abstractNumId="245">
    <w:nsid w:val="4DA32C7E"/>
    <w:multiLevelType w:val="hybridMultilevel"/>
    <w:lvl w:ilvl="0">
      <w:lvlJc w:val="left"/>
      <w:lvlText w:val="1"/>
      <w:numFmt w:val="bullet"/>
      <w:start w:val="1"/>
    </w:lvl>
  </w:abstractNum>
  <w:abstractNum w:abstractNumId="246">
    <w:nsid w:val="6EC68664"/>
    <w:multiLevelType w:val="hybridMultilevel"/>
    <w:lvl w:ilvl="0">
      <w:lvlJc w:val="left"/>
      <w:lvlText w:val="2"/>
      <w:numFmt w:val="bullet"/>
      <w:start w:val="1"/>
    </w:lvl>
  </w:abstractNum>
  <w:abstractNum w:abstractNumId="247">
    <w:nsid w:val="E0D31FF"/>
    <w:multiLevelType w:val="hybridMultilevel"/>
    <w:lvl w:ilvl="0">
      <w:lvlJc w:val="left"/>
      <w:lvlText w:val="3"/>
      <w:numFmt w:val="bullet"/>
      <w:start w:val="1"/>
    </w:lvl>
  </w:abstractNum>
  <w:abstractNum w:abstractNumId="248">
    <w:nsid w:val="2FD0AD81"/>
    <w:multiLevelType w:val="hybridMultilevel"/>
    <w:lvl w:ilvl="0">
      <w:lvlJc w:val="left"/>
      <w:lvlText w:val="%1."/>
      <w:numFmt w:val="decimal"/>
      <w:start w:val="1"/>
    </w:lvl>
    <w:lvl w:ilvl="1">
      <w:lvlJc w:val="left"/>
      <w:lvlText w:val="(%2)"/>
      <w:numFmt w:val="lowerLetter"/>
      <w:start w:val="1"/>
    </w:lvl>
  </w:abstractNum>
  <w:abstractNum w:abstractNumId="249">
    <w:nsid w:val="1978EBEB"/>
    <w:multiLevelType w:val="hybridMultilevel"/>
    <w:lvl w:ilvl="0">
      <w:lvlJc w:val="left"/>
      <w:lvlText w:val="%1."/>
      <w:numFmt w:val="decimal"/>
      <w:start w:val="2"/>
    </w:lvl>
  </w:abstractNum>
  <w:abstractNum w:abstractNumId="250">
    <w:nsid w:val="52C12C61"/>
    <w:multiLevelType w:val="hybridMultilevel"/>
    <w:lvl w:ilvl="0">
      <w:lvlJc w:val="left"/>
      <w:lvlText w:val="(%1)"/>
      <w:numFmt w:val="lowerLetter"/>
      <w:start w:val="1"/>
    </w:lvl>
  </w:abstractNum>
  <w:abstractNum w:abstractNumId="251">
    <w:nsid w:val="4BDD53FD"/>
    <w:multiLevelType w:val="hybridMultilevel"/>
    <w:lvl w:ilvl="0">
      <w:lvlJc w:val="left"/>
      <w:lvlText w:val="(%1)"/>
      <w:numFmt w:val="lowerLetter"/>
      <w:start w:val="2"/>
    </w:lvl>
  </w:abstractNum>
  <w:abstractNum w:abstractNumId="252">
    <w:nsid w:val="569951FE"/>
    <w:multiLevelType w:val="hybridMultilevel"/>
    <w:lvl w:ilvl="0">
      <w:lvlJc w:val="left"/>
      <w:lvlText w:val="(%1)"/>
      <w:numFmt w:val="lowerLetter"/>
      <w:start w:val="1"/>
    </w:lvl>
  </w:abstractNum>
  <w:abstractNum w:abstractNumId="253">
    <w:nsid w:val="4C54E2C3"/>
    <w:multiLevelType w:val="hybridMultilevel"/>
    <w:lvl w:ilvl="0">
      <w:lvlJc w:val="left"/>
      <w:lvlText w:val="3"/>
      <w:numFmt w:val="bullet"/>
      <w:start w:val="1"/>
    </w:lvl>
  </w:abstractNum>
  <w:abstractNum w:abstractNumId="254">
    <w:nsid w:val="788BD9B"/>
    <w:multiLevelType w:val="hybridMultilevel"/>
    <w:lvl w:ilvl="0">
      <w:lvlJc w:val="left"/>
      <w:lvlText w:val="(%1)"/>
      <w:numFmt w:val="lowerLetter"/>
      <w:start w:val="1"/>
    </w:lvl>
  </w:abstractNum>
  <w:abstractNum w:abstractNumId="255">
    <w:nsid w:val="47CAA567"/>
    <w:multiLevelType w:val="hybridMultilevel"/>
    <w:lvl w:ilvl="0">
      <w:lvlJc w:val="left"/>
      <w:lvlText w:val="(%1)"/>
      <w:numFmt w:val="lowerLetter"/>
      <w:start w:val="1"/>
    </w:lvl>
  </w:abstractNum>
  <w:abstractNum w:abstractNumId="256">
    <w:nsid w:val="48249DBF"/>
    <w:multiLevelType w:val="hybridMultilevel"/>
    <w:lvl w:ilvl="0">
      <w:lvlJc w:val="left"/>
      <w:lvlText w:val="%1."/>
      <w:numFmt w:val="decimal"/>
      <w:start w:val="4"/>
    </w:lvl>
  </w:abstractNum>
  <w:abstractNum w:abstractNumId="257">
    <w:nsid w:val="1F0E5D0D"/>
    <w:multiLevelType w:val="hybridMultilevel"/>
    <w:lvl w:ilvl="0">
      <w:lvlJc w:val="left"/>
      <w:lvlText w:val="(%1)"/>
      <w:numFmt w:val="lowerLetter"/>
      <w:start w:val="1"/>
    </w:lvl>
  </w:abstractNum>
  <w:abstractNum w:abstractNumId="258">
    <w:nsid w:val="26BAAE9"/>
    <w:multiLevelType w:val="hybridMultilevel"/>
    <w:lvl w:ilvl="0">
      <w:lvlJc w:val="left"/>
      <w:lvlText w:val="•"/>
      <w:numFmt w:val="bullet"/>
      <w:start w:val="1"/>
    </w:lvl>
  </w:abstractNum>
  <w:abstractNum w:abstractNumId="259">
    <w:nsid w:val="2C02FE8C"/>
    <w:multiLevelType w:val="hybridMultilevel"/>
    <w:lvl w:ilvl="0">
      <w:lvlJc w:val="left"/>
      <w:lvlText w:val="(%1)"/>
      <w:numFmt w:val="lowerLetter"/>
      <w:start w:val="1"/>
    </w:lvl>
  </w:abstractNum>
  <w:abstractNum w:abstractNumId="260">
    <w:nsid w:val="129517E"/>
    <w:multiLevelType w:val="hybridMultilevel"/>
    <w:lvl w:ilvl="0">
      <w:lvlJc w:val="left"/>
      <w:lvlText w:val="(%1)"/>
      <w:numFmt w:val="lowerLetter"/>
      <w:start w:val="1"/>
    </w:lvl>
  </w:abstractNum>
  <w:abstractNum w:abstractNumId="261">
    <w:nsid w:val="763B8C4E"/>
    <w:multiLevelType w:val="hybridMultilevel"/>
    <w:lvl w:ilvl="0">
      <w:lvlJc w:val="left"/>
      <w:lvlText w:val="(%1)"/>
      <w:numFmt w:val="lowerLetter"/>
      <w:start w:val="1"/>
    </w:lvl>
  </w:abstractNum>
  <w:abstractNum w:abstractNumId="262">
    <w:nsid w:val="4CFB8D32"/>
    <w:multiLevelType w:val="hybridMultilevel"/>
    <w:lvl w:ilvl="0">
      <w:lvlJc w:val="left"/>
      <w:lvlText w:val="(%1)"/>
      <w:numFmt w:val="lowerLetter"/>
      <w:start w:val="1"/>
    </w:lvl>
  </w:abstractNum>
  <w:abstractNum w:abstractNumId="263">
    <w:nsid w:val="62A5D5BD"/>
    <w:multiLevelType w:val="hybridMultilevel"/>
    <w:lvl w:ilvl="0">
      <w:lvlJc w:val="left"/>
      <w:lvlText w:val="%1."/>
      <w:numFmt w:val="decimal"/>
      <w:start w:val="5"/>
    </w:lvl>
  </w:abstractNum>
  <w:abstractNum w:abstractNumId="264">
    <w:nsid w:val="718FABF9"/>
    <w:multiLevelType w:val="hybridMultilevel"/>
    <w:lvl w:ilvl="0">
      <w:lvlJc w:val="left"/>
      <w:lvlText w:val="(%1)"/>
      <w:numFmt w:val="lowerLetter"/>
      <w:start w:val="1"/>
    </w:lvl>
  </w:abstractNum>
  <w:abstractNum w:abstractNumId="265">
    <w:nsid w:val="7775797C"/>
    <w:multiLevelType w:val="hybridMultilevel"/>
    <w:lvl w:ilvl="0">
      <w:lvlJc w:val="left"/>
      <w:lvlText w:val="(%1)"/>
      <w:numFmt w:val="lowerLetter"/>
      <w:start w:val="1"/>
    </w:lvl>
  </w:abstractNum>
  <w:abstractNum w:abstractNumId="266">
    <w:nsid w:val="1626FB8C"/>
    <w:multiLevelType w:val="hybridMultilevel"/>
    <w:lvl w:ilvl="0">
      <w:lvlJc w:val="left"/>
      <w:lvlText w:val="(%1)"/>
      <w:numFmt w:val="lowerLetter"/>
      <w:start w:val="1"/>
    </w:lvl>
  </w:abstractNum>
  <w:abstractNum w:abstractNumId="267">
    <w:nsid w:val="3957756A"/>
    <w:multiLevelType w:val="hybridMultilevel"/>
    <w:lvl w:ilvl="0">
      <w:lvlJc w:val="left"/>
      <w:lvlText w:val="(%1)"/>
      <w:numFmt w:val="lowerLetter"/>
      <w:start w:val="1"/>
    </w:lvl>
  </w:abstractNum>
  <w:abstractNum w:abstractNumId="268">
    <w:nsid w:val="3E6DA1C7"/>
    <w:multiLevelType w:val="hybridMultilevel"/>
    <w:lvl w:ilvl="0">
      <w:lvlJc w:val="left"/>
      <w:lvlText w:val="%1."/>
      <w:numFmt w:val="decimal"/>
      <w:start w:val="7"/>
    </w:lvl>
  </w:abstractNum>
  <w:abstractNum w:abstractNumId="269">
    <w:nsid w:val="65CA235B"/>
    <w:multiLevelType w:val="hybridMultilevel"/>
    <w:lvl w:ilvl="0">
      <w:lvlJc w:val="left"/>
      <w:lvlText w:val="(%1)"/>
      <w:numFmt w:val="lowerLetter"/>
      <w:start w:val="1"/>
    </w:lvl>
  </w:abstractNum>
  <w:abstractNum w:abstractNumId="270">
    <w:nsid w:val="51CB0DA4"/>
    <w:multiLevelType w:val="hybridMultilevel"/>
    <w:lvl w:ilvl="0">
      <w:lvlJc w:val="left"/>
      <w:lvlText w:val="(%1)"/>
      <w:numFmt w:val="lowerLetter"/>
      <w:start w:val="2"/>
    </w:lvl>
  </w:abstractNum>
  <w:abstractNum w:abstractNumId="271">
    <w:nsid w:val="7B9B743C"/>
    <w:multiLevelType w:val="hybridMultilevel"/>
    <w:lvl w:ilvl="0">
      <w:lvlJc w:val="left"/>
      <w:lvlText w:val="%1."/>
      <w:numFmt w:val="decimal"/>
      <w:start w:val="8"/>
    </w:lvl>
  </w:abstractNum>
  <w:abstractNum w:abstractNumId="272">
    <w:nsid w:val="13E21002"/>
    <w:multiLevelType w:val="hybridMultilevel"/>
    <w:lvl w:ilvl="0">
      <w:lvlJc w:val="left"/>
      <w:lvlText w:val="(%1)"/>
      <w:numFmt w:val="lowerLetter"/>
      <w:start w:val="1"/>
    </w:lvl>
  </w:abstractNum>
  <w:abstractNum w:abstractNumId="273">
    <w:nsid w:val="257D63F4"/>
    <w:multiLevelType w:val="hybridMultilevel"/>
    <w:lvl w:ilvl="0">
      <w:lvlJc w:val="left"/>
      <w:lvlText w:val="(%1)"/>
      <w:numFmt w:val="lowerLetter"/>
      <w:start w:val="1"/>
    </w:lvl>
  </w:abstractNum>
  <w:abstractNum w:abstractNumId="274">
    <w:nsid w:val="70EC11B2"/>
    <w:multiLevelType w:val="hybridMultilevel"/>
    <w:lvl w:ilvl="0">
      <w:lvlJc w:val="left"/>
      <w:lvlText w:val="(%1)"/>
      <w:numFmt w:val="lowerLetter"/>
      <w:start w:val="1"/>
    </w:lvl>
  </w:abstractNum>
  <w:abstractNum w:abstractNumId="275">
    <w:nsid w:val="2EDA00ED"/>
    <w:multiLevelType w:val="hybridMultilevel"/>
    <w:lvl w:ilvl="0">
      <w:lvlJc w:val="left"/>
      <w:lvlText w:val="%1."/>
      <w:numFmt w:val="decimal"/>
      <w:start w:val="9"/>
    </w:lvl>
  </w:abstractNum>
  <w:abstractNum w:abstractNumId="276">
    <w:nsid w:val="73209072"/>
    <w:multiLevelType w:val="hybridMultilevel"/>
    <w:lvl w:ilvl="0">
      <w:lvlJc w:val="left"/>
      <w:lvlText w:val="(%1)"/>
      <w:numFmt w:val="lowerLetter"/>
      <w:start w:val="1"/>
    </w:lvl>
  </w:abstractNum>
  <w:abstractNum w:abstractNumId="277">
    <w:nsid w:val="5FB29816"/>
    <w:multiLevelType w:val="hybridMultilevel"/>
    <w:lvl w:ilvl="0">
      <w:lvlJc w:val="left"/>
      <w:lvlText w:val="(%1)"/>
      <w:numFmt w:val="lowerLetter"/>
      <w:start w:val="1"/>
    </w:lvl>
  </w:abstractNum>
  <w:abstractNum w:abstractNumId="278">
    <w:nsid w:val="3CE732EC"/>
    <w:multiLevelType w:val="hybridMultilevel"/>
    <w:lvl w:ilvl="0">
      <w:lvlJc w:val="left"/>
      <w:lvlText w:val="(%1)"/>
      <w:numFmt w:val="lowerLetter"/>
      <w:start w:val="1"/>
    </w:lvl>
  </w:abstractNum>
  <w:abstractNum w:abstractNumId="279">
    <w:nsid w:val="22F13DF3"/>
    <w:multiLevelType w:val="hybridMultilevel"/>
    <w:lvl w:ilvl="0">
      <w:lvlJc w:val="left"/>
      <w:lvlText w:val="(%1)"/>
      <w:numFmt w:val="lowerLetter"/>
      <w:start w:val="1"/>
    </w:lvl>
  </w:abstractNum>
  <w:abstractNum w:abstractNumId="280">
    <w:nsid w:val="792B8401"/>
    <w:multiLevelType w:val="hybridMultilevel"/>
    <w:lvl w:ilvl="0">
      <w:lvlJc w:val="left"/>
      <w:lvlText w:val="%1."/>
      <w:numFmt w:val="decimal"/>
      <w:start w:val="10"/>
    </w:lvl>
  </w:abstractNum>
  <w:abstractNum w:abstractNumId="281">
    <w:nsid w:val="FA85F4D"/>
    <w:multiLevelType w:val="hybridMultilevel"/>
    <w:lvl w:ilvl="0">
      <w:lvlJc w:val="left"/>
      <w:lvlText w:val="(%1)"/>
      <w:numFmt w:val="lowerLetter"/>
      <w:start w:val="1"/>
    </w:lvl>
  </w:abstractNum>
  <w:abstractNum w:abstractNumId="282">
    <w:nsid w:val="6ECE91F0"/>
    <w:multiLevelType w:val="hybridMultilevel"/>
    <w:lvl w:ilvl="0">
      <w:lvlJc w:val="left"/>
      <w:lvlText w:val="%1."/>
      <w:numFmt w:val="decimal"/>
      <w:start w:val="11"/>
    </w:lvl>
  </w:abstractNum>
  <w:abstractNum w:abstractNumId="283">
    <w:nsid w:val="4FC4D600"/>
    <w:multiLevelType w:val="hybridMultilevel"/>
    <w:lvl w:ilvl="0">
      <w:lvlJc w:val="left"/>
      <w:lvlText w:val="(%1)"/>
      <w:numFmt w:val="lowerLetter"/>
      <w:start w:val="1"/>
    </w:lvl>
  </w:abstractNum>
  <w:abstractNum w:abstractNumId="284">
    <w:nsid w:val="5BFD4210"/>
    <w:multiLevelType w:val="hybridMultilevel"/>
    <w:lvl w:ilvl="0">
      <w:lvlJc w:val="left"/>
      <w:lvlText w:val="(%1)"/>
      <w:numFmt w:val="lowerLetter"/>
      <w:start w:val="3"/>
    </w:lvl>
  </w:abstractNum>
  <w:abstractNum w:abstractNumId="285">
    <w:nsid w:val="76574F8B"/>
    <w:multiLevelType w:val="hybridMultilevel"/>
    <w:lvl w:ilvl="0">
      <w:lvlJc w:val="left"/>
      <w:lvlText w:val="(%1)"/>
      <w:numFmt w:val="lowerRoman"/>
      <w:start w:val="1"/>
    </w:lvl>
  </w:abstractNum>
  <w:abstractNum w:abstractNumId="286">
    <w:nsid w:val="178F7B67"/>
    <w:multiLevelType w:val="hybridMultilevel"/>
    <w:lvl w:ilvl="0">
      <w:lvlJc w:val="left"/>
      <w:lvlText w:val="•"/>
      <w:numFmt w:val="bullet"/>
      <w:start w:val="1"/>
    </w:lvl>
  </w:abstractNum>
  <w:abstractNum w:abstractNumId="287">
    <w:nsid w:val="2421DFCF"/>
    <w:multiLevelType w:val="hybridMultilevel"/>
    <w:lvl w:ilvl="0">
      <w:lvlJc w:val="left"/>
      <w:lvlText w:val="%1."/>
      <w:numFmt w:val="decimal"/>
      <w:start w:val="12"/>
    </w:lvl>
  </w:abstractNum>
  <w:abstractNum w:abstractNumId="288">
    <w:nsid w:val="1565AC99"/>
    <w:multiLevelType w:val="hybridMultilevel"/>
    <w:lvl w:ilvl="0">
      <w:lvlJc w:val="left"/>
      <w:lvlText w:val="(%1)"/>
      <w:numFmt w:val="lowerLetter"/>
      <w:start w:val="1"/>
    </w:lvl>
  </w:abstractNum>
  <w:abstractNum w:abstractNumId="289">
    <w:nsid w:val="19FB2650"/>
    <w:multiLevelType w:val="hybridMultilevel"/>
    <w:lvl w:ilvl="0">
      <w:lvlJc w:val="left"/>
      <w:lvlText w:val="(%1)"/>
      <w:numFmt w:val="lowerRoman"/>
      <w:start w:val="1"/>
    </w:lvl>
  </w:abstractNum>
  <w:abstractNum w:abstractNumId="290">
    <w:nsid w:val="5024DE5B"/>
    <w:multiLevelType w:val="hybridMultilevel"/>
    <w:lvl w:ilvl="0">
      <w:lvlJc w:val="left"/>
      <w:lvlText w:val="(%1)"/>
      <w:numFmt w:val="lowerLetter"/>
      <w:start w:val="1"/>
    </w:lvl>
  </w:abstractNum>
  <w:abstractNum w:abstractNumId="291">
    <w:nsid w:val="168EFE17"/>
    <w:multiLevelType w:val="hybridMultilevel"/>
    <w:lvl w:ilvl="0">
      <w:lvlJc w:val="left"/>
      <w:lvlText w:val="(%1)"/>
      <w:numFmt w:val="lowerLetter"/>
      <w:start w:val="2"/>
    </w:lvl>
  </w:abstractNum>
  <w:abstractNum w:abstractNumId="292">
    <w:nsid w:val="1036B29F"/>
    <w:multiLevelType w:val="hybridMultilevel"/>
    <w:lvl w:ilvl="0">
      <w:lvlJc w:val="left"/>
      <w:lvlText w:val="(%1)"/>
      <w:numFmt w:val="lowerLetter"/>
      <w:start w:val="1"/>
    </w:lvl>
  </w:abstractNum>
  <w:abstractNum w:abstractNumId="293">
    <w:nsid w:val="1D206B8E"/>
    <w:multiLevelType w:val="hybridMultilevel"/>
    <w:lvl w:ilvl="0">
      <w:lvlJc w:val="left"/>
      <w:lvlText w:val="(%1)"/>
      <w:numFmt w:val="lowerLetter"/>
      <w:start w:val="1"/>
    </w:lvl>
  </w:abstractNum>
  <w:abstractNum w:abstractNumId="294">
    <w:nsid w:val="7934D3D4"/>
    <w:multiLevelType w:val="hybridMultilevel"/>
    <w:lvl w:ilvl="0">
      <w:lvlJc w:val="left"/>
      <w:lvlText w:val="(%1)"/>
      <w:numFmt w:val="lowerLetter"/>
      <w:start w:val="1"/>
    </w:lvl>
  </w:abstractNum>
  <w:abstractNum w:abstractNumId="295">
    <w:nsid w:val="1C65E98"/>
    <w:multiLevelType w:val="hybridMultilevel"/>
    <w:lvl w:ilvl="0">
      <w:lvlJc w:val="left"/>
      <w:lvlText w:val="%1."/>
      <w:numFmt w:val="decimal"/>
      <w:start w:val="13"/>
    </w:lvl>
  </w:abstractNum>
  <w:abstractNum w:abstractNumId="296">
    <w:nsid w:val="1495E50A"/>
    <w:multiLevelType w:val="hybridMultilevel"/>
    <w:lvl w:ilvl="0">
      <w:lvlJc w:val="left"/>
      <w:lvlText w:val="(%1)"/>
      <w:numFmt w:val="lowerLetter"/>
      <w:start w:val="1"/>
    </w:lvl>
  </w:abstractNum>
  <w:abstractNum w:abstractNumId="297">
    <w:nsid w:val="F5BCF61"/>
    <w:multiLevelType w:val="hybridMultilevel"/>
    <w:lvl w:ilvl="0">
      <w:lvlJc w:val="left"/>
      <w:lvlText w:val="(%1)"/>
      <w:numFmt w:val="lowerLetter"/>
      <w:start w:val="1"/>
    </w:lvl>
  </w:abstractNum>
  <w:abstractNum w:abstractNumId="298">
    <w:nsid w:val="3B1DD403"/>
    <w:multiLevelType w:val="hybridMultilevel"/>
    <w:lvl w:ilvl="0">
      <w:lvlJc w:val="left"/>
      <w:lvlText w:val="(%1)"/>
      <w:numFmt w:val="lowerLetter"/>
      <w:start w:val="1"/>
    </w:lvl>
  </w:abstractNum>
  <w:abstractNum w:abstractNumId="299">
    <w:nsid w:val="530386D1"/>
    <w:multiLevelType w:val="hybridMultilevel"/>
    <w:lvl w:ilvl="0">
      <w:lvlJc w:val="left"/>
      <w:lvlText w:val="%1."/>
      <w:numFmt w:val="decimal"/>
      <w:start w:val="14"/>
    </w:lvl>
  </w:abstractNum>
  <w:abstractNum w:abstractNumId="300">
    <w:nsid w:val="7525F2BC"/>
    <w:multiLevelType w:val="hybridMultilevel"/>
    <w:lvl w:ilvl="0">
      <w:lvlJc w:val="left"/>
      <w:lvlText w:val="%1."/>
      <w:numFmt w:val="decimal"/>
      <w:start w:val="15"/>
    </w:lvl>
  </w:abstractNum>
  <w:abstractNum w:abstractNumId="301">
    <w:nsid w:val="CE8E1A7"/>
    <w:multiLevelType w:val="hybridMultilevel"/>
    <w:lvl w:ilvl="0">
      <w:lvlJc w:val="left"/>
      <w:lvlText w:val="(%1)"/>
      <w:numFmt w:val="lowerLetter"/>
      <w:start w:val="1"/>
    </w:lvl>
  </w:abstractNum>
  <w:abstractNum w:abstractNumId="302">
    <w:nsid w:val="4E9EFB0D"/>
    <w:multiLevelType w:val="hybridMultilevel"/>
    <w:lvl w:ilvl="0">
      <w:lvlJc w:val="left"/>
      <w:lvlText w:val="(%1)"/>
      <w:numFmt w:val="lowerLetter"/>
      <w:start w:val="1"/>
    </w:lvl>
  </w:abstractNum>
  <w:abstractNum w:abstractNumId="303">
    <w:nsid w:val="90802BE"/>
    <w:multiLevelType w:val="hybridMultilevel"/>
    <w:lvl w:ilvl="0">
      <w:lvlJc w:val="left"/>
      <w:lvlText w:val="(%1)"/>
      <w:numFmt w:val="lowerLetter"/>
      <w:start w:val="4"/>
    </w:lvl>
  </w:abstractNum>
  <w:abstractNum w:abstractNumId="304">
    <w:nsid w:val="3266459B"/>
    <w:multiLevelType w:val="hybridMultilevel"/>
    <w:lvl w:ilvl="0">
      <w:lvlJc w:val="left"/>
      <w:lvlText w:val="(%1)"/>
      <w:numFmt w:val="lowerLetter"/>
      <w:start w:val="1"/>
    </w:lvl>
  </w:abstractNum>
  <w:abstractNum w:abstractNumId="305">
    <w:nsid w:val="3F8B0CBF"/>
    <w:multiLevelType w:val="hybridMultilevel"/>
    <w:lvl w:ilvl="0">
      <w:lvlJc w:val="left"/>
      <w:lvlText w:val="(%1)"/>
      <w:numFmt w:val="lowerLetter"/>
      <w:start w:val="3"/>
    </w:lvl>
  </w:abstractNum>
  <w:abstractNum w:abstractNumId="306">
    <w:nsid w:val="37E203AB"/>
    <w:multiLevelType w:val="hybridMultilevel"/>
    <w:lvl w:ilvl="0">
      <w:lvlJc w:val="left"/>
      <w:lvlText w:val="(%1)"/>
      <w:numFmt w:val="lowerLetter"/>
      <w:start w:val="6"/>
    </w:lvl>
  </w:abstractNum>
  <w:abstractNum w:abstractNumId="307">
    <w:nsid w:val="2586D60E"/>
    <w:multiLevelType w:val="hybridMultilevel"/>
    <w:lvl w:ilvl="0">
      <w:lvlJc w:val="left"/>
      <w:lvlText w:val="%1."/>
      <w:numFmt w:val="upperLetter"/>
      <w:start w:val="1"/>
    </w:lvl>
  </w:abstractNum>
  <w:abstractNum w:abstractNumId="308">
    <w:nsid w:val="1F3DA4D5"/>
    <w:multiLevelType w:val="hybridMultilevel"/>
    <w:lvl w:ilvl="0">
      <w:lvlJc w:val="left"/>
      <w:lvlText w:val="%1."/>
      <w:numFmt w:val="decimal"/>
      <w:start w:val="1"/>
    </w:lvl>
    <w:lvl w:ilvl="1">
      <w:lvlJc w:val="left"/>
      <w:lvlText w:val="%2."/>
      <w:numFmt w:val="decimal"/>
      <w:start w:val="2"/>
    </w:lvl>
  </w:abstractNum>
  <w:abstractNum w:abstractNumId="309">
    <w:nsid w:val="74C93698"/>
    <w:multiLevelType w:val="hybridMultilevel"/>
    <w:lvl w:ilvl="0">
      <w:lvlJc w:val="left"/>
      <w:lvlText w:val="3"/>
      <w:numFmt w:val="bullet"/>
      <w:start w:val="1"/>
    </w:lvl>
  </w:abstractNum>
  <w:abstractNum w:abstractNumId="310">
    <w:nsid w:val="48781401"/>
    <w:multiLevelType w:val="hybridMultilevel"/>
    <w:lvl w:ilvl="0">
      <w:lvlJc w:val="left"/>
      <w:lvlText w:val="%1)"/>
      <w:numFmt w:val="lowerLetter"/>
      <w:start w:val="1"/>
    </w:lvl>
    <w:lvl w:ilvl="1">
      <w:lvlJc w:val="left"/>
      <w:lvlText w:val="%2)"/>
      <w:numFmt w:val="lowerLetter"/>
      <w:start w:val="2"/>
    </w:lvl>
  </w:abstractNum>
  <w:abstractNum w:abstractNumId="311">
    <w:nsid w:val="186928D6"/>
    <w:multiLevelType w:val="hybridMultilevel"/>
    <w:lvl w:ilvl="0">
      <w:lvlJc w:val="left"/>
      <w:lvlText w:val="(%1)"/>
      <w:numFmt w:val="lowerLetter"/>
      <w:start w:val="1"/>
    </w:lvl>
    <w:lvl w:ilvl="1">
      <w:lvlJc w:val="left"/>
      <w:lvlText w:val="(%2)"/>
      <w:numFmt w:val="lowerRoman"/>
      <w:start w:val="1"/>
    </w:lvl>
  </w:abstractNum>
  <w:abstractNum w:abstractNumId="312">
    <w:nsid w:val="47195E5"/>
    <w:multiLevelType w:val="hybridMultilevel"/>
    <w:lvl w:ilvl="0">
      <w:lvlJc w:val="left"/>
      <w:lvlText w:val="%1."/>
      <w:numFmt w:val="decimal"/>
      <w:start w:val="5"/>
    </w:lvl>
  </w:abstractNum>
  <w:abstractNum w:abstractNumId="313">
    <w:nsid w:val="3746A5F2"/>
    <w:multiLevelType w:val="hybridMultilevel"/>
    <w:lvl w:ilvl="0">
      <w:lvlJc w:val="left"/>
      <w:lvlText w:val="%1."/>
      <w:numFmt w:val="decimal"/>
      <w:start w:val="6"/>
    </w:lvl>
  </w:abstractNum>
  <w:abstractNum w:abstractNumId="314">
    <w:nsid w:val="682DFED6"/>
    <w:multiLevelType w:val="hybridMultilevel"/>
    <w:lvl w:ilvl="0">
      <w:lvlJc w:val="left"/>
      <w:lvlText w:val="%1."/>
      <w:numFmt w:val="decimal"/>
      <w:start w:val="7"/>
    </w:lvl>
  </w:abstractNum>
  <w:abstractNum w:abstractNumId="315">
    <w:nsid w:val="606ED7F6"/>
    <w:multiLevelType w:val="hybridMultilevel"/>
    <w:lvl w:ilvl="0">
      <w:lvlJc w:val="left"/>
      <w:lvlText w:val="%1."/>
      <w:numFmt w:val="decimal"/>
      <w:start w:val="8"/>
    </w:lvl>
  </w:abstractNum>
  <w:abstractNum w:abstractNumId="316">
    <w:nsid w:val="2D9DF57D"/>
    <w:multiLevelType w:val="hybridMultilevel"/>
    <w:lvl w:ilvl="0">
      <w:lvlJc w:val="left"/>
      <w:lvlText w:val="%1."/>
      <w:numFmt w:val="decimal"/>
      <w:start w:val="11"/>
    </w:lvl>
  </w:abstractNum>
  <w:abstractNum w:abstractNumId="317">
    <w:nsid w:val="7FBD7A3E"/>
    <w:multiLevelType w:val="hybridMultilevel"/>
    <w:lvl w:ilvl="0">
      <w:lvlJc w:val="left"/>
      <w:lvlText w:val="["/>
      <w:numFmt w:val="bullet"/>
      <w:start w:val="1"/>
    </w:lvl>
  </w:abstractNum>
  <w:abstractNum w:abstractNumId="318">
    <w:nsid w:val="490B7C5"/>
    <w:multiLevelType w:val="hybridMultilevel"/>
    <w:lvl w:ilvl="0">
      <w:lvlJc w:val="left"/>
      <w:lvlText w:val="["/>
      <w:numFmt w:val="bullet"/>
      <w:start w:val="1"/>
    </w:lvl>
  </w:abstractNum>
  <w:abstractNum w:abstractNumId="319">
    <w:nsid w:val="4303A216"/>
    <w:multiLevelType w:val="hybridMultilevel"/>
    <w:lvl w:ilvl="0">
      <w:lvlJc w:val="left"/>
      <w:lvlText w:val="1"/>
      <w:numFmt w:val="bullet"/>
      <w:start w:val="1"/>
    </w:lvl>
  </w:abstractNum>
  <w:abstractNum w:abstractNumId="320">
    <w:nsid w:val="19B8A08E"/>
    <w:multiLevelType w:val="hybridMultilevel"/>
    <w:lvl w:ilvl="0">
      <w:lvlJc w:val="left"/>
      <w:lvlText w:val="2"/>
      <w:numFmt w:val="bullet"/>
      <w:start w:val="1"/>
    </w:lvl>
  </w:abstractNum>
  <w:abstractNum w:abstractNumId="321">
    <w:nsid w:val="54B59621"/>
    <w:multiLevelType w:val="hybridMultilevel"/>
    <w:lvl w:ilvl="0">
      <w:lvlJc w:val="left"/>
      <w:lvlText w:val="%1:"/>
      <w:numFmt w:val="upperLetter"/>
      <w:start w:val="20"/>
    </w:lvl>
  </w:abstractNum>
  <w:abstractNum w:abstractNumId="322">
    <w:nsid w:val="5992A02E"/>
    <w:multiLevelType w:val="hybridMultilevel"/>
    <w:lvl w:ilvl="0">
      <w:lvlJc w:val="left"/>
      <w:lvlText w:val="%1:"/>
      <w:numFmt w:val="upperLetter"/>
      <w:start w:val="6"/>
    </w:lvl>
  </w:abstractNum>
  <w:abstractNum w:abstractNumId="323">
    <w:nsid w:val="29EF532D"/>
    <w:multiLevelType w:val="hybridMultilevel"/>
    <w:lvl w:ilvl="0">
      <w:lvlJc w:val="left"/>
      <w:lvlText w:val="(%1)"/>
      <w:numFmt w:val="upperLetter"/>
      <w:start w:val="1"/>
    </w:lvl>
  </w:abstractNum>
  <w:abstractNum w:abstractNumId="324">
    <w:nsid w:val="71D601AF"/>
    <w:multiLevelType w:val="hybridMultilevel"/>
    <w:lvl w:ilvl="0">
      <w:lvlJc w:val="left"/>
      <w:lvlText w:val="1"/>
      <w:numFmt w:val="bullet"/>
      <w:start w:val="1"/>
    </w:lvl>
  </w:abstractNum>
  <w:abstractNum w:abstractNumId="325">
    <w:nsid w:val="52C77402"/>
    <w:multiLevelType w:val="hybridMultilevel"/>
    <w:lvl w:ilvl="0">
      <w:lvlJc w:val="left"/>
      <w:lvlText w:val="2"/>
      <w:numFmt w:val="bullet"/>
      <w:start w:val="1"/>
    </w:lvl>
  </w:abstractNum>
  <w:abstractNum w:abstractNumId="326">
    <w:nsid w:val="2BB5B1C6"/>
    <w:multiLevelType w:val="hybridMultilevel"/>
    <w:lvl w:ilvl="0">
      <w:lvlJc w:val="left"/>
      <w:lvlText w:val="3"/>
      <w:numFmt w:val="bullet"/>
      <w:start w:val="1"/>
    </w:lvl>
  </w:abstractNum>
  <w:abstractNum w:abstractNumId="327">
    <w:nsid w:val="66BE6B9"/>
    <w:multiLevelType w:val="hybridMultilevel"/>
    <w:lvl w:ilvl="0">
      <w:lvlJc w:val="left"/>
      <w:lvlText w:val="4"/>
      <w:numFmt w:val="bullet"/>
      <w:start w:val="1"/>
    </w:lvl>
  </w:abstractNum>
  <w:abstractNum w:abstractNumId="328">
    <w:nsid w:val="62234363"/>
    <w:multiLevelType w:val="hybridMultilevel"/>
    <w:lvl w:ilvl="0">
      <w:lvlJc w:val="left"/>
      <w:lvlText w:val="5"/>
      <w:numFmt w:val="bullet"/>
      <w:start w:val="1"/>
    </w:lvl>
  </w:abstractNum>
  <w:abstractNum w:abstractNumId="329">
    <w:nsid w:val="66D385C9"/>
    <w:multiLevelType w:val="hybridMultilevel"/>
    <w:lvl w:ilvl="0">
      <w:lvlJc w:val="left"/>
      <w:lvlText w:val="6"/>
      <w:numFmt w:val="bullet"/>
      <w:start w:val="1"/>
    </w:lvl>
  </w:abstractNum>
  <w:abstractNum w:abstractNumId="330">
    <w:nsid w:val="596F6D8A"/>
    <w:multiLevelType w:val="hybridMultilevel"/>
    <w:lvl w:ilvl="0">
      <w:lvlJc w:val="left"/>
      <w:lvlText w:val="7"/>
      <w:numFmt w:val="bullet"/>
      <w:start w:val="1"/>
    </w:lvl>
  </w:abstractNum>
  <w:abstractNum w:abstractNumId="331">
    <w:nsid w:val="5749361F"/>
    <w:multiLevelType w:val="hybridMultilevel"/>
    <w:lvl w:ilvl="0">
      <w:lvlJc w:val="left"/>
      <w:lvlText w:val="8"/>
      <w:numFmt w:val="bullet"/>
      <w:start w:val="1"/>
    </w:lvl>
  </w:abstractNum>
  <w:abstractNum w:abstractNumId="332">
    <w:nsid w:val="73BC6770"/>
    <w:multiLevelType w:val="hybridMultilevel"/>
    <w:lvl w:ilvl="0">
      <w:lvlJc w:val="left"/>
      <w:lvlText w:val="1"/>
      <w:numFmt w:val="bullet"/>
      <w:start w:val="1"/>
    </w:lvl>
  </w:abstractNum>
  <w:abstractNum w:abstractNumId="333">
    <w:nsid w:val="280E6897"/>
    <w:multiLevelType w:val="hybridMultilevel"/>
    <w:lvl w:ilvl="0">
      <w:lvlJc w:val="left"/>
      <w:lvlText w:val="2"/>
      <w:numFmt w:val="bullet"/>
      <w:start w:val="1"/>
    </w:lvl>
  </w:abstractNum>
  <w:abstractNum w:abstractNumId="334">
    <w:nsid w:val="605138DE"/>
    <w:multiLevelType w:val="hybridMultilevel"/>
    <w:lvl w:ilvl="0">
      <w:lvlJc w:val="left"/>
      <w:lvlText w:val="3"/>
      <w:numFmt w:val="bullet"/>
      <w:start w:val="1"/>
    </w:lvl>
  </w:abstractNum>
  <w:abstractNum w:abstractNumId="335">
    <w:nsid w:val="2622AD0C"/>
    <w:multiLevelType w:val="hybridMultilevel"/>
    <w:lvl w:ilvl="0">
      <w:lvlJc w:val="left"/>
      <w:lvlText w:val="4"/>
      <w:numFmt w:val="bullet"/>
      <w:start w:val="1"/>
    </w:lvl>
  </w:abstractNum>
  <w:abstractNum w:abstractNumId="336">
    <w:nsid w:val="67997556"/>
    <w:multiLevelType w:val="hybridMultilevel"/>
    <w:lvl w:ilvl="0">
      <w:lvlJc w:val="left"/>
      <w:lvlText w:val="5"/>
      <w:numFmt w:val="bullet"/>
      <w:start w:val="1"/>
    </w:lvl>
  </w:abstractNum>
  <w:abstractNum w:abstractNumId="337">
    <w:nsid w:val="18333C89"/>
    <w:multiLevelType w:val="hybridMultilevel"/>
    <w:lvl w:ilvl="0">
      <w:lvlJc w:val="left"/>
      <w:lvlText w:val="6"/>
      <w:numFmt w:val="bullet"/>
      <w:start w:val="1"/>
    </w:lvl>
  </w:abstractNum>
  <w:abstractNum w:abstractNumId="338">
    <w:nsid w:val="4BA9831A"/>
    <w:multiLevelType w:val="hybridMultilevel"/>
    <w:lvl w:ilvl="0">
      <w:lvlJc w:val="left"/>
      <w:lvlText w:val="7"/>
      <w:numFmt w:val="bullet"/>
      <w:start w:val="1"/>
    </w:lvl>
  </w:abstractNum>
  <w:abstractNum w:abstractNumId="339">
    <w:nsid w:val="6D71A2B"/>
    <w:multiLevelType w:val="hybridMultilevel"/>
    <w:lvl w:ilvl="0">
      <w:lvlJc w:val="left"/>
      <w:lvlText w:val="1"/>
      <w:numFmt w:val="bullet"/>
      <w:start w:val="1"/>
    </w:lvl>
  </w:abstractNum>
  <w:abstractNum w:abstractNumId="340">
    <w:nsid w:val="CFC7321"/>
    <w:multiLevelType w:val="hybridMultilevel"/>
    <w:lvl w:ilvl="0">
      <w:lvlJc w:val="left"/>
      <w:lvlText w:val="2"/>
      <w:numFmt w:val="bullet"/>
      <w:start w:val="1"/>
    </w:lvl>
  </w:abstractNum>
  <w:abstractNum w:abstractNumId="341">
    <w:nsid w:val="1421971B"/>
    <w:multiLevelType w:val="hybridMultilevel"/>
    <w:lvl w:ilvl="0">
      <w:lvlJc w:val="left"/>
      <w:lvlText w:val="3"/>
      <w:numFmt w:val="bullet"/>
      <w:start w:val="1"/>
    </w:lvl>
  </w:abstractNum>
  <w:abstractNum w:abstractNumId="342">
    <w:nsid w:val="1F404301"/>
    <w:multiLevelType w:val="hybridMultilevel"/>
    <w:lvl w:ilvl="0">
      <w:lvlJc w:val="left"/>
      <w:lvlText w:val="4"/>
      <w:numFmt w:val="bullet"/>
      <w:start w:val="1"/>
    </w:lvl>
  </w:abstractNum>
  <w:abstractNum w:abstractNumId="343">
    <w:nsid w:val="116E0907"/>
    <w:multiLevelType w:val="hybridMultilevel"/>
    <w:lvl w:ilvl="0">
      <w:lvlJc w:val="left"/>
      <w:lvlText w:val="5"/>
      <w:numFmt w:val="bullet"/>
      <w:start w:val="1"/>
    </w:lvl>
  </w:abstractNum>
  <w:abstractNum w:abstractNumId="344">
    <w:nsid w:val="4B683D0D"/>
    <w:multiLevelType w:val="hybridMultilevel"/>
    <w:lvl w:ilvl="0">
      <w:lvlJc w:val="left"/>
      <w:lvlText w:val="6"/>
      <w:numFmt w:val="bullet"/>
      <w:start w:val="1"/>
    </w:lvl>
  </w:abstractNum>
  <w:abstractNum w:abstractNumId="345">
    <w:nsid w:val="76E41D8"/>
    <w:multiLevelType w:val="hybridMultilevel"/>
    <w:lvl w:ilvl="0">
      <w:lvlJc w:val="left"/>
      <w:lvlText w:val="%1."/>
      <w:numFmt w:val="decimal"/>
      <w:start w:val="1"/>
    </w:lvl>
  </w:abstractNum>
  <w:abstractNum w:abstractNumId="346">
    <w:nsid w:val="71DCE0FD"/>
    <w:multiLevelType w:val="hybridMultilevel"/>
    <w:lvl w:ilvl="0">
      <w:lvlJc w:val="left"/>
      <w:lvlText w:val="%1."/>
      <w:numFmt w:val="decimal"/>
      <w:start w:val="5"/>
    </w:lvl>
  </w:abstractNum>
  <w:abstractNum w:abstractNumId="347">
    <w:nsid w:val="7906328B"/>
    <w:multiLevelType w:val="hybridMultilevel"/>
    <w:lvl w:ilvl="0">
      <w:lvlJc w:val="left"/>
      <w:lvlText w:val="%1."/>
      <w:numFmt w:val="decimal"/>
      <w:start w:val="1"/>
    </w:lvl>
  </w:abstractNum>
  <w:abstractNum w:abstractNumId="348">
    <w:nsid w:val="72BBC16"/>
    <w:multiLevelType w:val="hybridMultilevel"/>
    <w:lvl w:ilvl="0">
      <w:lvlJc w:val="left"/>
      <w:lvlText w:val="%1."/>
      <w:numFmt w:val="decimal"/>
      <w:start w:val="5"/>
    </w:lvl>
  </w:abstractNum>
  <w:abstractNum w:abstractNumId="349">
    <w:nsid w:val="766D98C2"/>
    <w:multiLevelType w:val="hybridMultilevel"/>
    <w:lvl w:ilvl="0">
      <w:lvlJc w:val="left"/>
      <w:lvlText w:val="%1."/>
      <w:numFmt w:val="decimal"/>
      <w:start w:val="1"/>
    </w:lvl>
  </w:abstractNum>
  <w:abstractNum w:abstractNumId="350">
    <w:nsid w:val="3C09D4A1"/>
    <w:multiLevelType w:val="hybridMultilevel"/>
    <w:lvl w:ilvl="0">
      <w:lvlJc w:val="left"/>
      <w:lvlText w:val="%1."/>
      <w:numFmt w:val="decimal"/>
      <w:start w:val="1"/>
    </w:lvl>
  </w:abstractNum>
  <w:abstractNum w:abstractNumId="351">
    <w:nsid w:val="20E45CA4"/>
    <w:multiLevelType w:val="hybridMultilevel"/>
    <w:lvl w:ilvl="0">
      <w:lvlJc w:val="left"/>
      <w:lvlText w:val="(%1)"/>
      <w:numFmt w:val="decimal"/>
      <w:start w:val="1"/>
    </w:lvl>
  </w:abstractNum>
  <w:abstractNum w:abstractNumId="352">
    <w:nsid w:val="4B232EE3"/>
    <w:multiLevelType w:val="hybridMultilevel"/>
    <w:lvl w:ilvl="0">
      <w:lvlJc w:val="left"/>
      <w:lvlText w:val="%1."/>
      <w:numFmt w:val="upperLetter"/>
      <w:start w:val="9"/>
    </w:lvl>
  </w:abstractNum>
  <w:abstractNum w:abstractNumId="353">
    <w:nsid w:val="159C74CF"/>
    <w:multiLevelType w:val="hybridMultilevel"/>
    <w:lvl w:ilvl="0">
      <w:lvlJc w:val="left"/>
      <w:lvlText w:val="%1."/>
      <w:numFmt w:val="upperLetter"/>
      <w:start w:val="35"/>
    </w:lvl>
    <w:lvl w:ilvl="1">
      <w:lvlJc w:val="left"/>
      <w:lvlText w:val=" "/>
      <w:numFmt w:val="bullet"/>
      <w:start w:val="1"/>
    </w:lvl>
  </w:abstractNum>
  <w:abstractNum w:abstractNumId="354">
    <w:nsid w:val="4AD3AFD2"/>
    <w:multiLevelType w:val="hybridMultilevel"/>
    <w:lvl w:ilvl="0">
      <w:lvlJc w:val="left"/>
      <w:lvlText w:val=" "/>
      <w:numFmt w:val="bullet"/>
      <w:start w:val="1"/>
    </w:lvl>
  </w:abstractNum>
  <w:abstractNum w:abstractNumId="355">
    <w:nsid w:val="3CF93092"/>
    <w:multiLevelType w:val="hybridMultilevel"/>
    <w:lvl w:ilvl="0">
      <w:lvlJc w:val="left"/>
      <w:lvlText w:val="%1."/>
      <w:numFmt w:val="upperLetter"/>
      <w:start w:val="61"/>
    </w:lvl>
  </w:abstractNum>
  <w:abstractNum w:abstractNumId="356">
    <w:nsid w:val="6863E8D2"/>
    <w:multiLevelType w:val="hybridMultilevel"/>
    <w:lvl w:ilvl="0">
      <w:lvlJc w:val="left"/>
      <w:lvlText w:val=" "/>
      <w:numFmt w:val="bullet"/>
      <w:start w:val="1"/>
    </w:lvl>
  </w:abstractNum>
  <w:abstractNum w:abstractNumId="357">
    <w:nsid w:val="76896198"/>
    <w:multiLevelType w:val="hybridMultilevel"/>
    <w:lvl w:ilvl="0">
      <w:lvlJc w:val="left"/>
      <w:lvlText w:val=" "/>
      <w:numFmt w:val="bullet"/>
      <w:start w:val="1"/>
    </w:lvl>
  </w:abstractNum>
  <w:abstractNum w:abstractNumId="358">
    <w:nsid w:val="4365174B"/>
    <w:multiLevelType w:val="hybridMultilevel"/>
    <w:lvl w:ilvl="0">
      <w:lvlJc w:val="left"/>
      <w:lvlText w:val=" "/>
      <w:numFmt w:val="bullet"/>
      <w:start w:val="1"/>
    </w:lvl>
    <w:lvl w:ilvl="1">
      <w:lvlJc w:val="left"/>
      <w:lvlText w:val="(%2)"/>
      <w:numFmt w:val="decimal"/>
      <w:start w:val="1"/>
    </w:lvl>
  </w:abstractNum>
  <w:abstractNum w:abstractNumId="359">
    <w:nsid w:val="4A872C35"/>
    <w:multiLevelType w:val="hybridMultilevel"/>
    <w:lvl w:ilvl="0">
      <w:lvlJc w:val="left"/>
      <w:lvlText w:val="(%1)"/>
      <w:numFmt w:val="decimal"/>
      <w:start w:val="2"/>
    </w:lvl>
  </w:abstractNum>
  <w:abstractNum w:abstractNumId="360">
    <w:nsid w:val="5D5CE761"/>
    <w:multiLevelType w:val="hybridMultilevel"/>
    <w:lvl w:ilvl="0">
      <w:lvlJc w:val="left"/>
      <w:lvlText w:val=" "/>
      <w:numFmt w:val="bullet"/>
      <w:start w:val="1"/>
    </w:lvl>
  </w:abstractNum>
  <w:abstractNum w:abstractNumId="361">
    <w:nsid w:val="1CD484D5"/>
    <w:multiLevelType w:val="hybridMultilevel"/>
    <w:lvl w:ilvl="0">
      <w:lvlJc w:val="left"/>
      <w:lvlText w:val=" "/>
      <w:numFmt w:val="bullet"/>
      <w:start w:val="1"/>
    </w:lvl>
    <w:lvl w:ilvl="1">
      <w:lvlJc w:val="left"/>
      <w:lvlText w:val="(%2)"/>
      <w:numFmt w:val="decimal"/>
      <w:start w:val="1"/>
    </w:lvl>
  </w:abstractNum>
  <w:abstractNum w:abstractNumId="362">
    <w:nsid w:val="21D06255"/>
    <w:multiLevelType w:val="hybridMultilevel"/>
    <w:lvl w:ilvl="0">
      <w:lvlJc w:val="left"/>
      <w:lvlText w:val=" "/>
      <w:numFmt w:val="bullet"/>
      <w:start w:val="1"/>
    </w:lvl>
    <w:lvl w:ilvl="1">
      <w:lvlJc w:val="left"/>
      <w:lvlText w:val="(%2)"/>
      <w:numFmt w:val="decimal"/>
      <w:start w:val="4"/>
    </w:lvl>
  </w:abstractNum>
  <w:abstractNum w:abstractNumId="363">
    <w:nsid w:val="51194ED1"/>
    <w:multiLevelType w:val="hybridMultilevel"/>
    <w:lvl w:ilvl="0">
      <w:lvlJc w:val="left"/>
      <w:lvlText w:val="%1."/>
      <w:numFmt w:val="upperLetter"/>
      <w:start w:val="22"/>
    </w:lvl>
  </w:abstractNum>
  <w:abstractNum w:abstractNumId="364">
    <w:nsid w:val="44E2ED6C"/>
    <w:multiLevelType w:val="hybridMultilevel"/>
    <w:lvl w:ilvl="0">
      <w:lvlJc w:val="left"/>
      <w:lvlText w:val=" "/>
      <w:numFmt w:val="bullet"/>
      <w:start w:val="1"/>
    </w:lvl>
  </w:abstractNum>
  <w:abstractNum w:abstractNumId="365">
    <w:nsid w:val="2219B33"/>
    <w:multiLevelType w:val="hybridMultilevel"/>
    <w:lvl w:ilvl="0">
      <w:lvlJc w:val="left"/>
      <w:lvlText w:val="(%1)"/>
      <w:numFmt w:val="lowerLetter"/>
      <w:start w:val="1"/>
    </w:lvl>
  </w:abstractNum>
  <w:abstractNum w:abstractNumId="366">
    <w:nsid w:val="773BFBDD"/>
    <w:multiLevelType w:val="hybridMultilevel"/>
    <w:lvl w:ilvl="0">
      <w:lvlJc w:val="left"/>
      <w:lvlText w:val="%1."/>
      <w:numFmt w:val="upperLetter"/>
      <w:start w:val="24"/>
    </w:lvl>
  </w:abstractNum>
  <w:abstractNum w:abstractNumId="367">
    <w:nsid w:val="2C7C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6" Type="http://schemas.openxmlformats.org/officeDocument/2006/relationships/image" Target="media/image550.png"/><Relationship Id="rId577"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1" Type="http://schemas.openxmlformats.org/officeDocument/2006/relationships/image" Target="media/image555.png"/><Relationship Id="rId582" Type="http://schemas.openxmlformats.org/officeDocument/2006/relationships/image" Target="media/image556.png"/><Relationship Id="rId583" Type="http://schemas.openxmlformats.org/officeDocument/2006/relationships/image" Target="media/image557.png"/><Relationship Id="rId584" Type="http://schemas.openxmlformats.org/officeDocument/2006/relationships/image" Target="media/image558.png"/><Relationship Id="rId585" Type="http://schemas.openxmlformats.org/officeDocument/2006/relationships/image" Target="media/image559.png"/><Relationship Id="rId586" Type="http://schemas.openxmlformats.org/officeDocument/2006/relationships/image" Target="media/image560.png"/><Relationship Id="rId587" Type="http://schemas.openxmlformats.org/officeDocument/2006/relationships/image" Target="media/image561.png"/><Relationship Id="rId588" Type="http://schemas.openxmlformats.org/officeDocument/2006/relationships/image" Target="media/image562.png"/><Relationship Id="rId589" Type="http://schemas.openxmlformats.org/officeDocument/2006/relationships/image" Target="media/image563.png"/><Relationship Id="rId590"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3" Type="http://schemas.openxmlformats.org/officeDocument/2006/relationships/image" Target="media/image567.png"/><Relationship Id="rId594" Type="http://schemas.openxmlformats.org/officeDocument/2006/relationships/image" Target="media/image568.png"/><Relationship Id="rId595"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png"/><Relationship Id="rId608" Type="http://schemas.openxmlformats.org/officeDocument/2006/relationships/image" Target="media/image582.png"/><Relationship Id="rId609" Type="http://schemas.openxmlformats.org/officeDocument/2006/relationships/image" Target="media/image583.png"/><Relationship Id="rId610" Type="http://schemas.openxmlformats.org/officeDocument/2006/relationships/image" Target="media/image584.png"/><Relationship Id="rId611" Type="http://schemas.openxmlformats.org/officeDocument/2006/relationships/image" Target="media/image585.png"/><Relationship Id="rId612" Type="http://schemas.openxmlformats.org/officeDocument/2006/relationships/image" Target="media/image586.png"/><Relationship Id="rId613" Type="http://schemas.openxmlformats.org/officeDocument/2006/relationships/image" Target="media/image587.png"/><Relationship Id="rId614" Type="http://schemas.openxmlformats.org/officeDocument/2006/relationships/image" Target="media/image588.png"/><Relationship Id="rId615"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20" Type="http://schemas.openxmlformats.org/officeDocument/2006/relationships/image" Target="media/image594.png"/><Relationship Id="rId621" Type="http://schemas.openxmlformats.org/officeDocument/2006/relationships/image" Target="media/image595.png"/><Relationship Id="rId622" Type="http://schemas.openxmlformats.org/officeDocument/2006/relationships/image" Target="media/image596.png"/><Relationship Id="rId623" Type="http://schemas.openxmlformats.org/officeDocument/2006/relationships/image" Target="media/image597.png"/><Relationship Id="rId624" Type="http://schemas.openxmlformats.org/officeDocument/2006/relationships/image" Target="media/image598.png"/><Relationship Id="rId625" Type="http://schemas.openxmlformats.org/officeDocument/2006/relationships/image" Target="media/image599.png"/><Relationship Id="rId626" Type="http://schemas.openxmlformats.org/officeDocument/2006/relationships/image" Target="media/image600.png"/><Relationship Id="rId627" Type="http://schemas.openxmlformats.org/officeDocument/2006/relationships/image" Target="media/image601.png"/><Relationship Id="rId628" Type="http://schemas.openxmlformats.org/officeDocument/2006/relationships/image" Target="media/image602.png"/><Relationship Id="rId629" Type="http://schemas.openxmlformats.org/officeDocument/2006/relationships/image" Target="media/image603.png"/><Relationship Id="rId630" Type="http://schemas.openxmlformats.org/officeDocument/2006/relationships/image" Target="media/image604.png"/><Relationship Id="rId631" Type="http://schemas.openxmlformats.org/officeDocument/2006/relationships/image" Target="media/image605.png"/><Relationship Id="rId632" Type="http://schemas.openxmlformats.org/officeDocument/2006/relationships/image" Target="media/image606.png"/><Relationship Id="rId633" Type="http://schemas.openxmlformats.org/officeDocument/2006/relationships/image" Target="media/image607.png"/><Relationship Id="rId634" Type="http://schemas.openxmlformats.org/officeDocument/2006/relationships/image" Target="media/image608.png"/><Relationship Id="rId635" Type="http://schemas.openxmlformats.org/officeDocument/2006/relationships/image" Target="media/image609.png"/><Relationship Id="rId636" Type="http://schemas.openxmlformats.org/officeDocument/2006/relationships/image" Target="media/image610.png"/><Relationship Id="rId637" Type="http://schemas.openxmlformats.org/officeDocument/2006/relationships/image" Target="media/image611.png"/><Relationship Id="rId638" Type="http://schemas.openxmlformats.org/officeDocument/2006/relationships/image" Target="media/image612.png"/><Relationship Id="rId639" Type="http://schemas.openxmlformats.org/officeDocument/2006/relationships/image" Target="media/image613.png"/><Relationship Id="rId640" Type="http://schemas.openxmlformats.org/officeDocument/2006/relationships/image" Target="media/image614.png"/><Relationship Id="rId641" Type="http://schemas.openxmlformats.org/officeDocument/2006/relationships/image" Target="media/image615.png"/><Relationship Id="rId642" Type="http://schemas.openxmlformats.org/officeDocument/2006/relationships/image" Target="media/image616.png"/><Relationship Id="rId643" Type="http://schemas.openxmlformats.org/officeDocument/2006/relationships/image" Target="media/image617.png"/><Relationship Id="rId644" Type="http://schemas.openxmlformats.org/officeDocument/2006/relationships/image" Target="media/image618.jpeg"/><Relationship Id="rId645" Type="http://schemas.openxmlformats.org/officeDocument/2006/relationships/image" Target="media/image619.png"/><Relationship Id="rId646" Type="http://schemas.openxmlformats.org/officeDocument/2006/relationships/image" Target="media/image620.png"/><Relationship Id="rId647" Type="http://schemas.openxmlformats.org/officeDocument/2006/relationships/image" Target="media/image621.png"/><Relationship Id="rId648" Type="http://schemas.openxmlformats.org/officeDocument/2006/relationships/image" Target="media/image622.png"/><Relationship Id="rId649" Type="http://schemas.openxmlformats.org/officeDocument/2006/relationships/image" Target="media/image623.png"/><Relationship Id="rId65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95" Type="http://schemas.openxmlformats.org/officeDocument/2006/relationships/image" Target="media/image669.png"/><Relationship Id="rId696" Type="http://schemas.openxmlformats.org/officeDocument/2006/relationships/image" Target="media/image670.png"/><Relationship Id="rId697" Type="http://schemas.openxmlformats.org/officeDocument/2006/relationships/image" Target="media/image671.png"/><Relationship Id="rId698" Type="http://schemas.openxmlformats.org/officeDocument/2006/relationships/image" Target="media/image672.png"/><Relationship Id="rId699" Type="http://schemas.openxmlformats.org/officeDocument/2006/relationships/image" Target="media/image673.png"/><Relationship Id="rId700" Type="http://schemas.openxmlformats.org/officeDocument/2006/relationships/image" Target="media/image674.png"/><Relationship Id="rId236" Type="http://schemas.openxmlformats.org/officeDocument/2006/relationships/hyperlink" Target="https://www.sec.gov/Archives/edgar/data/1709626/000119312525092131/d906809dex31.htm" TargetMode="External"/><Relationship Id="rId237" Type="http://schemas.openxmlformats.org/officeDocument/2006/relationships/hyperlink" Target="https://www.sec.gov/Archives/edgar/data/1709626/000119312525142565/d61671dex42.htm" TargetMode="External"/><Relationship Id="rId238" Type="http://schemas.openxmlformats.org/officeDocument/2006/relationships/hyperlink" Target="https://www.sec.gov/Archives/edgar/data/1709626/000156459018006509/ncna-ex41_522.htm" TargetMode="External"/><Relationship Id="rId239" Type="http://schemas.openxmlformats.org/officeDocument/2006/relationships/hyperlink" Target="https://www.sec.gov/Archives/edgar/data/1709626/000119312517286909/d393013dex101.htm" TargetMode="External"/><Relationship Id="rId240" Type="http://schemas.openxmlformats.org/officeDocument/2006/relationships/hyperlink" Target="https://www.sec.gov/Archives/edgar/data/1709626/000119312517286909/d393013dex102.htm" TargetMode="External"/><Relationship Id="rId241" Type="http://schemas.openxmlformats.org/officeDocument/2006/relationships/hyperlink" Target="https://www.sec.gov/Archives/edgar/data/0001709626/000119312520224739/d33945dex102.htm" TargetMode="External"/><Relationship Id="rId242" Type="http://schemas.openxmlformats.org/officeDocument/2006/relationships/hyperlink" Target="https://www.sec.gov/Archives/edgar/data/1709626/000119312517286909/d393013dex105.htm" TargetMode="External"/><Relationship Id="rId243" Type="http://schemas.openxmlformats.org/officeDocument/2006/relationships/hyperlink" Target="https://www.sec.gov/Archives/edgar/data/1709626/000119312517286909/d393013dex106.htm" TargetMode="External"/><Relationship Id="rId244" Type="http://schemas.openxmlformats.org/officeDocument/2006/relationships/hyperlink" Target="https://www.sec.gov/Archives/edgar/data/1709626/000119312517286909/d393013dex107.htm" TargetMode="External"/><Relationship Id="rId245" Type="http://schemas.openxmlformats.org/officeDocument/2006/relationships/hyperlink" Target="https://www.sec.gov/Archives/edgar/data/1709626/000156459018006509/ncna-ex410_1187.htm" TargetMode="External"/><Relationship Id="rId246" Type="http://schemas.openxmlformats.org/officeDocument/2006/relationships/hyperlink" Target="https://www.sec.gov/Archives/edgar/data/0001709626/000156459020009788/ncna-ex411_322.htm" TargetMode="External"/><Relationship Id="rId247" Type="http://schemas.openxmlformats.org/officeDocument/2006/relationships/hyperlink" Target="https://www.sec.gov/Archives/edgar/data/1709626/000156459021010959/ncna-ex412_220.htm" TargetMode="External"/><Relationship Id="rId251" Type="http://schemas.openxmlformats.org/officeDocument/2006/relationships/hyperlink" Target="https://www.sec.gov/Archives/edgar/data/1709626/000156459018006509/ncna-ex411_524.htm" TargetMode="External"/><Relationship Id="rId252" Type="http://schemas.openxmlformats.org/officeDocument/2006/relationships/hyperlink" Target="https://www.sec.gov/Archives/edgar/data/1709626/000119312517286909/d393013dex1010.htm" TargetMode="External"/><Relationship Id="rId253" Type="http://schemas.openxmlformats.org/officeDocument/2006/relationships/hyperlink" Target="https://www.sec.gov/Archives/edgar/data/0001709626/000156459020009788/ncna-ex414_436.htm" TargetMode="External"/><Relationship Id="rId254" Type="http://schemas.openxmlformats.org/officeDocument/2006/relationships/hyperlink" Target="https://www.sec.gov/Archives/edgar/data/1709626/000095017025042709/ncna-ex4_16.htm" TargetMode="External"/><Relationship Id="rId255" Type="http://schemas.openxmlformats.org/officeDocument/2006/relationships/hyperlink" Target="https://www.sec.gov/Archives/edgar/data/1709626/000119312525151990/d930817dex11.htm" TargetMode="External"/><Relationship Id="rId256" Type="http://schemas.openxmlformats.org/officeDocument/2006/relationships/hyperlink" Target="https://www.sec.gov/Archives/edgar/data/1709626/000119312517275710/d393013dex211.htm" TargetMode="External"/><Relationship Id="rId257" Type="http://schemas.openxmlformats.org/officeDocument/2006/relationships/hyperlink" Target="https://www.sec.gov/Archives/edgar/data/1709626/000095017025042709/ncn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2026-03-19T15:36:53Z</dcterms:created>
  <dcterms:modified xsi:type="dcterms:W3CDTF">2026-03-19T15:36:53Z</dcterms:modified>
</cp:coreProperties>
</file>