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647d6k.htm"/>
      <w:bookmarkStart w:id="1" w:name="ksd11464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March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No. 001-38215)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NUCANA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 Lochside Way </w:t>
      </w:r>
    </w:p>
    <w:p>
      <w:pPr>
        <w:pStyle w:val="TextBody"/>
        <w:bidi w:val="0"/>
        <w:spacing w:before="0" w:after="0"/>
        <w:jc w:val="center"/>
        <w:rPr>
          <w:rFonts w:ascii="Times New Roman" w:hAnsi="Times New Roman"/>
          <w:b/>
          <w:sz w:val="20"/>
        </w:rPr>
      </w:pPr>
      <w:r>
        <w:rPr>
          <w:rFonts w:ascii="Times New Roman" w:hAnsi="Times New Roman"/>
          <w:b/>
          <w:sz w:val="20"/>
        </w:rPr>
        <w:t xml:space="preserve">Edinburgh EH12 9DT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registrant’s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 (b) (1): ☐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 (b) (7): ☐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2026, NuCana plc (the “Company”) issued a press release announcing its financial results for the year ended December 31, 2025 and providing an update on its clinical programs. The press release is attached as Exhibit 99.1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
        <w:gridCol w:w="437"/>
        <w:gridCol w:w="9214"/>
      </w:tblGrid>
      <w:tr>
        <w:trPr/>
        <w:tc>
          <w:tcPr>
            <w:tcW w:w="554"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9214" w:type="dxa"/>
            <w:tcBorders/>
            <w:vAlign w:val="center"/>
          </w:tcPr>
          <w:p>
            <w:pPr>
              <w:pStyle w:val="TableContents"/>
              <w:bidi w:val="0"/>
              <w:spacing w:before="0" w:after="283"/>
              <w:jc w:val="left"/>
              <w:rPr>
                <w:sz w:val="4"/>
                <w:szCs w:val="4"/>
              </w:rPr>
            </w:pPr>
            <w:r>
              <w:rPr>
                <w:sz w:val="4"/>
                <w:szCs w:val="4"/>
              </w:rPr>
            </w:r>
          </w:p>
        </w:tc>
      </w:tr>
      <w:tr>
        <w:trPr/>
        <w:tc>
          <w:tcPr>
            <w:tcW w:w="5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437" w:type="dxa"/>
            <w:tcBorders/>
            <w:vAlign w:val="bottom"/>
          </w:tcPr>
          <w:p>
            <w:pPr>
              <w:pStyle w:val="TableContents"/>
              <w:bidi w:val="0"/>
              <w:spacing w:before="0" w:after="283"/>
              <w:jc w:val="left"/>
              <w:rPr/>
            </w:pPr>
            <w:r>
              <w:rPr/>
              <w:t>  </w:t>
            </w:r>
          </w:p>
        </w:tc>
        <w:tc>
          <w:tcPr>
            <w:tcW w:w="92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99.1</w:t>
            </w:r>
          </w:p>
        </w:tc>
        <w:tc>
          <w:tcPr>
            <w:tcW w:w="437" w:type="dxa"/>
            <w:tcBorders/>
            <w:vAlign w:val="bottom"/>
          </w:tcPr>
          <w:p>
            <w:pPr>
              <w:pStyle w:val="TableContents"/>
              <w:bidi w:val="0"/>
              <w:spacing w:before="0" w:after="283"/>
              <w:jc w:val="left"/>
              <w:rPr/>
            </w:pPr>
            <w:r>
              <w:rPr/>
              <w:t>  </w:t>
            </w:r>
          </w:p>
        </w:tc>
        <w:tc>
          <w:tcPr>
            <w:tcW w:w="9214" w:type="dxa"/>
            <w:tcBorders/>
          </w:tcPr>
          <w:p>
            <w:pPr>
              <w:pStyle w:val="TableContents"/>
              <w:bidi w:val="0"/>
              <w:spacing w:before="0" w:after="283"/>
              <w:jc w:val="left"/>
              <w:rPr/>
            </w:pPr>
            <w:hyperlink w:anchor="d114647dex991.htm">
              <w:r>
                <w:rPr>
                  <w:rStyle w:val="InternetLink"/>
                </w:rPr>
                <w:t xml:space="preserve">Press Release Dated March 19,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NuCana plc</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Webster</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Ian Webster</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Interim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March 19, 2026 </w:t>
      </w:r>
    </w:p>
    <w:p>
      <w:pPr>
        <w:pStyle w:val="TextBody"/>
        <w:bidi w:val="0"/>
        <w:spacing w:before="0" w:after="0"/>
        <w:jc w:val="right"/>
        <w:rPr>
          <w:rFonts w:ascii="Times New Roman" w:hAnsi="Times New Roman"/>
          <w:b/>
          <w:sz w:val="20"/>
        </w:rPr>
      </w:pPr>
      <w:bookmarkStart w:id="2" w:name="d114647dex991.htm"/>
      <w:bookmarkStart w:id="3" w:name="ksd114647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NuCana Reports Fourth Quarter and Year-End 2025 Financial Results and </w:t>
      </w:r>
    </w:p>
    <w:p>
      <w:pPr>
        <w:pStyle w:val="TextBody"/>
        <w:bidi w:val="0"/>
        <w:spacing w:before="0" w:after="0"/>
        <w:jc w:val="center"/>
        <w:rPr>
          <w:rFonts w:ascii="Times New Roman" w:hAnsi="Times New Roman"/>
          <w:b/>
          <w:sz w:val="20"/>
        </w:rPr>
      </w:pPr>
      <w:r>
        <w:rPr>
          <w:rFonts w:ascii="Times New Roman" w:hAnsi="Times New Roman"/>
          <w:b/>
          <w:sz w:val="20"/>
        </w:rPr>
        <w:t xml:space="preserve">Provides Business Update </w:t>
      </w:r>
    </w:p>
    <w:p>
      <w:pPr>
        <w:pStyle w:val="TextBody"/>
        <w:bidi w:val="0"/>
        <w:spacing w:before="120" w:after="0"/>
        <w:jc w:val="center"/>
        <w:rPr>
          <w:rFonts w:ascii="Times New Roman" w:hAnsi="Times New Roman"/>
          <w:b/>
          <w:i/>
          <w:sz w:val="20"/>
        </w:rPr>
      </w:pPr>
      <w:r>
        <w:rPr>
          <w:rFonts w:ascii="Times New Roman" w:hAnsi="Times New Roman"/>
          <w:b/>
          <w:i/>
          <w:sz w:val="20"/>
        </w:rPr>
        <w:t xml:space="preserve">NUC-7738 Demonstrates Clinical Activity and Favorable Safety in Patients with PD-1 </w:t>
      </w:r>
    </w:p>
    <w:p>
      <w:pPr>
        <w:pStyle w:val="TextBody"/>
        <w:bidi w:val="0"/>
        <w:spacing w:before="0" w:after="0"/>
        <w:jc w:val="center"/>
        <w:rPr>
          <w:rFonts w:ascii="Times New Roman" w:hAnsi="Times New Roman"/>
          <w:b/>
          <w:i/>
          <w:sz w:val="20"/>
        </w:rPr>
      </w:pPr>
      <w:r>
        <w:rPr>
          <w:rFonts w:ascii="Times New Roman" w:hAnsi="Times New Roman"/>
          <w:b/>
          <w:i/>
          <w:sz w:val="20"/>
        </w:rPr>
        <w:t xml:space="preserve">Inhibitor-Resistant Melanoma </w:t>
      </w:r>
    </w:p>
    <w:p>
      <w:pPr>
        <w:pStyle w:val="TextBody"/>
        <w:bidi w:val="0"/>
        <w:spacing w:before="120" w:after="0"/>
        <w:jc w:val="center"/>
        <w:rPr>
          <w:rFonts w:ascii="Times New Roman" w:hAnsi="Times New Roman"/>
          <w:b/>
          <w:i/>
          <w:sz w:val="20"/>
        </w:rPr>
      </w:pPr>
      <w:r>
        <w:rPr>
          <w:rFonts w:ascii="Times New Roman" w:hAnsi="Times New Roman"/>
          <w:b/>
          <w:i/>
          <w:sz w:val="20"/>
        </w:rPr>
        <w:t xml:space="preserve">Final Data from Phase 2 Expansion Study of NUC-7738 Expected in 2026 </w:t>
      </w:r>
    </w:p>
    <w:p>
      <w:pPr>
        <w:pStyle w:val="TextBody"/>
        <w:bidi w:val="0"/>
        <w:spacing w:before="120" w:after="0"/>
        <w:jc w:val="center"/>
        <w:rPr>
          <w:rFonts w:ascii="Times New Roman" w:hAnsi="Times New Roman"/>
          <w:b/>
          <w:i/>
          <w:sz w:val="20"/>
        </w:rPr>
      </w:pPr>
      <w:r>
        <w:rPr>
          <w:rFonts w:ascii="Times New Roman" w:hAnsi="Times New Roman"/>
          <w:b/>
          <w:i/>
          <w:sz w:val="20"/>
        </w:rPr>
        <w:t xml:space="preserve">Advancing Additional Indications and Combination Strategies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Cash Runway Expected to Extend into 2029 </w:t>
      </w:r>
    </w:p>
    <w:p>
      <w:pPr>
        <w:pStyle w:val="TextBody"/>
        <w:bidi w:val="0"/>
        <w:spacing w:before="240" w:after="0"/>
        <w:jc w:val="left"/>
        <w:rPr>
          <w:rFonts w:ascii="Times New Roman" w:hAnsi="Times New Roman"/>
          <w:sz w:val="20"/>
        </w:rPr>
      </w:pPr>
      <w:r>
        <w:rPr>
          <w:rFonts w:ascii="Times New Roman" w:hAnsi="Times New Roman"/>
          <w:sz w:val="20"/>
        </w:rPr>
        <w:t xml:space="preserve">Edinburgh, United Kingdom, March 19, 2026 (GLOBE NEWSWIRE) - NuCana plc (NASDAQ: NCNA) (“NuCana” or the “Company”) today announced financial results for the fourth quarter and year ended December 31, 2025 and provided an update on its clinical development program with its two lead anti-cancer medicines. </w:t>
      </w:r>
    </w:p>
    <w:p>
      <w:pPr>
        <w:pStyle w:val="TextBody"/>
        <w:bidi w:val="0"/>
        <w:spacing w:before="240" w:after="0"/>
        <w:jc w:val="left"/>
        <w:rPr/>
      </w:pPr>
      <w:r>
        <w:rPr/>
        <w:t>“</w:t>
      </w:r>
      <w:r>
        <w:rPr>
          <w:rFonts w:ascii="Times New Roman" w:hAnsi="Times New Roman"/>
          <w:sz w:val="20"/>
        </w:rPr>
        <w:t xml:space="preserve">We are excited to enter 2026 with significant momentum as we continue to advance the development of our ProTide pipeline with the aim to deliver significantly improved treatment outcomes for patients with cancer,” said Hugh S. Griffith, NuCana’s Chief Executive Officer. “In late 2025, we presented compelling data from our Phase 2 NuTide:701 study at the annual European Society for Medical Oncology Immuno-Oncology Congress, evaluating NUC-7738 in combination with pembrolizumab in patients with PD-1 inhibitor-resistant metastatic melanoma. These data demonstrated a favorable safety profile and evidence of clinical activity, including two partial responses, one of which was confirmed, and multiple cases of stable disease, including one patient whose disease converted to a complete metabolic response with no detectable active disease.” </w:t>
      </w:r>
    </w:p>
    <w:p>
      <w:pPr>
        <w:pStyle w:val="TextBody"/>
        <w:bidi w:val="0"/>
        <w:spacing w:before="240" w:after="0"/>
        <w:jc w:val="left"/>
        <w:rPr>
          <w:rFonts w:ascii="Times New Roman" w:hAnsi="Times New Roman"/>
          <w:sz w:val="20"/>
        </w:rPr>
      </w:pPr>
      <w:r>
        <w:rPr>
          <w:rFonts w:ascii="Times New Roman" w:hAnsi="Times New Roman"/>
          <w:sz w:val="20"/>
        </w:rPr>
        <w:t xml:space="preserve">Mr. Griffith continued, “We expect to complete enrollment in the Phase 2 NuTide:701 expansion study in the first half of 2026, with final data expected later this year. We also plan to obtain regulatory guidance from the U.S. Food and Drug Administration regarding a potential registrational pathway for NUC-7738 in melanoma. In parallel, we are evaluating additional indications and combination strategies to further explore the therapeutic potential of NUC-7738.” </w:t>
      </w:r>
    </w:p>
    <w:p>
      <w:pPr>
        <w:pStyle w:val="TextBody"/>
        <w:bidi w:val="0"/>
        <w:spacing w:before="240" w:after="0"/>
        <w:jc w:val="left"/>
        <w:rPr>
          <w:rFonts w:ascii="Times New Roman" w:hAnsi="Times New Roman"/>
          <w:sz w:val="20"/>
        </w:rPr>
      </w:pPr>
      <w:r>
        <w:rPr>
          <w:rFonts w:ascii="Times New Roman" w:hAnsi="Times New Roman"/>
          <w:sz w:val="20"/>
        </w:rPr>
        <w:t xml:space="preserve">Mr. Griffith concluded, “Earlier this year we appointed Theresa Bruce as our Chief Operating Officer. Ms. Bruce brings over 25 years of oncology research and development experience, and her operational leadership will support the continued advancement of our pipeline. Based on our current operating plan, we expect our existing cash resources to fund operations into 2029, positioning us to execute on our key anticipated clinical and regulatory objectives.” </w:t>
      </w:r>
    </w:p>
    <w:p>
      <w:pPr>
        <w:pStyle w:val="TextBody"/>
        <w:bidi w:val="0"/>
        <w:spacing w:before="360" w:after="0"/>
        <w:jc w:val="left"/>
        <w:rPr>
          <w:rFonts w:ascii="Times New Roman" w:hAnsi="Times New Roman"/>
          <w:b/>
          <w:sz w:val="20"/>
        </w:rPr>
      </w:pPr>
      <w:r>
        <w:rPr>
          <w:rFonts w:ascii="Times New Roman" w:hAnsi="Times New Roman"/>
          <w:b/>
          <w:sz w:val="20"/>
        </w:rPr>
        <w:t xml:space="preserve">2026 Anticipated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NUC-7738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patient recruitment in the Phase 2 expansion study (NuTide:701) evaluating NUC-7738 in combination with pembrolizumab in patients with PD-1 resistant melanoma;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 final data from the Phase 2 expansion study (NuTide:701) of NUC-7738 in combination with pembrolizumab in patients with PD-1 resistant melanoma;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regulatory guidance from the U.S. Food and Drug Administration regarding a potential registrational strategy for NUC-7738 in melanoma;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evaluation of additional indications and combination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NUC-3373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optimal combinations and indications to inform potential future clinical studies of NUC-3373.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Fourth Quarter and Year-End 2025 Financial Highlights and Cash Position </w:t>
      </w:r>
    </w:p>
    <w:p>
      <w:pPr>
        <w:pStyle w:val="TextBody"/>
        <w:bidi w:val="0"/>
        <w:spacing w:before="120" w:after="0"/>
        <w:jc w:val="left"/>
        <w:rPr>
          <w:rFonts w:ascii="Times New Roman" w:hAnsi="Times New Roman"/>
          <w:sz w:val="20"/>
        </w:rPr>
      </w:pPr>
      <w:r>
        <w:rPr>
          <w:rFonts w:ascii="Times New Roman" w:hAnsi="Times New Roman"/>
          <w:sz w:val="20"/>
        </w:rPr>
        <w:t xml:space="preserve">As at December 31, 2025, NuCana had cash and cash equivalents of £24.3 million compared to £25.2 million at September 30, 2025 and £6.7 million at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In May 2025, NuCana completed a financing, raising £9.6 million in gross proceeds, £5.2 million upfront and £4.4 million from the exercise of warrants, before expenses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Subsequently, in July 2025, NuCana raised, through the at-the-market program, £19.0 million in gross proceeds before expenses and commissions. On July 21, 2025, having raised the full amount of capital required, NuCana announced it had successfully canceled all remaining Series A Warrants issued in the May 2025 financing, in exchange for payments totaling $3.6 million. This initiative fully eliminated all overhanging rights from the May 2025 financing. </w:t>
      </w:r>
    </w:p>
    <w:p>
      <w:pPr>
        <w:pStyle w:val="TextBody"/>
        <w:bidi w:val="0"/>
        <w:spacing w:before="240" w:after="0"/>
        <w:jc w:val="left"/>
        <w:rPr>
          <w:rFonts w:ascii="Times New Roman" w:hAnsi="Times New Roman"/>
          <w:sz w:val="20"/>
        </w:rPr>
      </w:pPr>
      <w:r>
        <w:rPr>
          <w:rFonts w:ascii="Times New Roman" w:hAnsi="Times New Roman"/>
          <w:sz w:val="20"/>
        </w:rPr>
        <w:t xml:space="preserve">NuCana anticipates its cash and cash equivalents at December 31, 2025 will be sufficient to fund its planned operations into 2029. </w:t>
      </w:r>
    </w:p>
    <w:p>
      <w:pPr>
        <w:pStyle w:val="TextBody"/>
        <w:bidi w:val="0"/>
        <w:spacing w:before="240" w:after="0"/>
        <w:jc w:val="left"/>
        <w:rPr>
          <w:rFonts w:ascii="Times New Roman" w:hAnsi="Times New Roman"/>
          <w:sz w:val="20"/>
        </w:rPr>
      </w:pPr>
      <w:r>
        <w:rPr>
          <w:rFonts w:ascii="Times New Roman" w:hAnsi="Times New Roman"/>
          <w:sz w:val="20"/>
        </w:rPr>
        <w:t xml:space="preserve">NuCana reported a net loss of £2.5 million for the quarter ended December 31, 2025, as compared to a net loss of £0.7 million for the quarter ended December 31, 2024. Basic and diluted loss per ordinary share was £0.00 for the quarter ended December 31, 2025, as compared to a loss per ordinary share of £0.01 for the comparable quarter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NuCana reported a net loss of £29.4 million for the year ended December 31, 2025, as compared to a net loss of £19.0 million for the year ended December 31, 2024. The net loss for the year ended December 31, 2025 included the following non-cash or non-recurring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expense of £12.6 million (2024: £nil) relating to the non-cash loss on fair value revaluation of the warrants issued in the May 2025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Professional fees of £1.4 million (2024: £nil) related to the issue of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 expenses of £10.0 million (2024: £1.6 million); partly offset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other income of £2.7 million (2024: £nil).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Basic and diluted loss per ordinary share was £0.00 for the year ended December 31, 2025, as compared to a loss per ordinary share of £0.26 for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About NuCana </w:t>
      </w:r>
    </w:p>
    <w:p>
      <w:pPr>
        <w:pStyle w:val="TextBody"/>
        <w:bidi w:val="0"/>
        <w:spacing w:before="120" w:after="0"/>
        <w:jc w:val="left"/>
        <w:rPr>
          <w:rFonts w:ascii="Times New Roman" w:hAnsi="Times New Roman"/>
          <w:sz w:val="20"/>
        </w:rPr>
      </w:pPr>
      <w:r>
        <w:rPr>
          <w:rFonts w:ascii="Times New Roman" w:hAnsi="Times New Roman"/>
          <w:sz w:val="20"/>
        </w:rPr>
        <w:t xml:space="preserve">NuCana is a clinical-stage biopharmaceutical company focused on significantly improving treatment outcomes for patients with cancer by applying our ProTide technology to transform some of the most widely prescribed chemotherapy agents, nucleoside analogs, into more effective and safer medicines.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medicines, ProTides, designed to overcome the key limitations of nucleoside analogs and generate much higher concentrations of anti-cancer metabolites in cancer cells. NuCana’s pipeline includes NUC-7738 and NUC-3373. NUC-7738 is a novel anti-cancer agent that disrupts RNA polyadenylation, profoundly impacts gene expression in cancer cells and targets multiple aspects of the tumor microenvironment. NUC-7738 is in the Phase 2 part of a Phase 1/2 study which is evaluating NUC-7738 as a monotherapy in patients with advanced solid tumors and in combination with pembrolizumab in patients with melanoma. NUC-3373 is a targeted thymidylate synthase (“TS”) inhibitor designed to overcome key pharmacological limitations associated with other TS inhibitors. NUC-3373 has recently been evaluated in a Phase 1b/2 modular study (NuTide:303) of NUC-3373 in combination with the PD-1 inhibitor pembrolizumab for patients with advanced solid tumors and in combination with docetaxel for patients with lung cancer, and NuCana is currently evaluating further characterization of mode of action and target indications for further clinical studies of NUC-3373.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may contain “forward-looking” statements within the meaning of the Private Securities Litigation Reform Act of 1995 that are based on the beliefs and assumptions and on information currently available to management of the Company. All statements other than statements of historical fact contained in this press release are forward-looking statements, including statements concerning the Company’s planned and ongoing clinical studies for the Company’s product candidates and the potential advantages of those product candidates, including NUC-7738 and NUC-3373; the initiation, enrollment, timing, progress, release of data from and results of those planned and ongoing clinical studies; the Company’s goals with respect to the development, regulatory pathway and potential use, if approved, of each of its product candidates; the utility of prior non-clinical and clinical data in determining future clinical results; and the sufficiency of the Company’s current cash and cash equivalents to fund its planned operations into 2029. In some cases, you can identify forward-looking statements by terminology such as “may,” “will,” “should,” “expects,” “plans,” “anticipates,” “believes,” “estimates,” “predicts,” “potential” or “continue” or the negative of these terms or other comparable terminology.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These risks and uncertainties include, but are not limited to, our ability to raise additional capital sufficient to fund our planned operations and the risks and uncertainties set forth in the “Risk Factors” section of the Company’s Annual Report on Form 20-F for the year ended December 31, 2025 filed with the Securities and Exchange Commission (“SEC”) on March 19, 2026, and subsequent reports that the Company files with the SEC. Forward-looking statements represent the Company’s beliefs and assumptions only as of the date of this press release. Although the Company believes that the expectations reflected in the forward-looking statements are reasonable, it cannot guarantee future results, levels of activity, performance or achievements. Except as required by law, the Company assumes no obligation to publicly update any forward-looking statements for any reason after the date of this press release to conform any of the forward-looking statements to actual results or to changes in its expectations.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13"/>
        <w:gridCol w:w="188"/>
        <w:gridCol w:w="140"/>
        <w:gridCol w:w="1124"/>
        <w:gridCol w:w="155"/>
        <w:gridCol w:w="135"/>
        <w:gridCol w:w="140"/>
        <w:gridCol w:w="1124"/>
        <w:gridCol w:w="155"/>
        <w:gridCol w:w="135"/>
        <w:gridCol w:w="140"/>
        <w:gridCol w:w="1083"/>
        <w:gridCol w:w="155"/>
        <w:gridCol w:w="135"/>
        <w:gridCol w:w="140"/>
        <w:gridCol w:w="1082"/>
        <w:gridCol w:w="161"/>
      </w:tblGrid>
      <w:tr>
        <w:trPr/>
        <w:tc>
          <w:tcPr>
            <w:tcW w:w="401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bottom"/>
          </w:tcPr>
          <w:p>
            <w:pPr>
              <w:pStyle w:val="TableContents"/>
              <w:bidi w:val="0"/>
              <w:spacing w:before="0" w:after="283"/>
              <w:jc w:val="center"/>
              <w:rPr/>
            </w:pPr>
            <w:r>
              <w:rPr>
                <w:rFonts w:ascii="Times New Roman" w:hAnsi="Times New Roman"/>
                <w:b/>
              </w:rPr>
              <w:t>For the Three Months  Ended</w:t>
            </w:r>
            <w:r>
              <w:rPr/>
              <w:br/>
            </w:r>
            <w:r>
              <w:rPr>
                <w:rFonts w:ascii="Times New Roman" w:hAnsi="Times New Roman"/>
                <w:b/>
              </w:rPr>
              <w:t>December 31,</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735" w:type="dxa"/>
            <w:gridSpan w:val="6"/>
            <w:tcBorders>
              <w:bottom w:val="single" w:sz="8" w:space="0" w:color="000000"/>
            </w:tcBorders>
            <w:tcMar>
              <w:bottom w:w="28" w:type="dxa"/>
            </w:tcMar>
            <w:vAlign w:val="bottom"/>
          </w:tcPr>
          <w:p>
            <w:pPr>
              <w:pStyle w:val="TableContents"/>
              <w:bidi w:val="0"/>
              <w:spacing w:before="0" w:after="283"/>
              <w:jc w:val="center"/>
              <w:rPr/>
            </w:pPr>
            <w:r>
              <w:rPr>
                <w:rFonts w:ascii="Times New Roman" w:hAnsi="Times New Roman"/>
                <w:b/>
              </w:rPr>
              <w:t>For the Year Ended</w:t>
            </w:r>
            <w:r>
              <w:rPr/>
              <w:br/>
            </w:r>
            <w:r>
              <w:rPr>
                <w:rFonts w:ascii="Times New Roman" w:hAnsi="Times New Roman"/>
                <w:b/>
              </w:rPr>
              <w:t>December 31,</w:t>
            </w:r>
          </w:p>
        </w:tc>
        <w:tc>
          <w:tcPr>
            <w:tcW w:w="161"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161"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843" w:type="dxa"/>
            <w:gridSpan w:val="14"/>
            <w:tcBorders/>
            <w:vAlign w:val="bottom"/>
          </w:tcPr>
          <w:p>
            <w:pPr>
              <w:pStyle w:val="TableContents"/>
              <w:bidi w:val="0"/>
              <w:spacing w:before="0" w:after="283"/>
              <w:jc w:val="center"/>
              <w:rPr>
                <w:rFonts w:ascii="Times New Roman" w:hAnsi="Times New Roman"/>
                <w:b/>
              </w:rPr>
            </w:pPr>
            <w:r>
              <w:rPr>
                <w:rFonts w:ascii="Times New Roman" w:hAnsi="Times New Roman"/>
                <w:b/>
              </w:rPr>
              <w:t>(in thousands, except per share data)</w:t>
            </w:r>
          </w:p>
        </w:tc>
        <w:tc>
          <w:tcPr>
            <w:tcW w:w="161"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818"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(unaudited)</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2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22"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rHeight w:val="120" w:hRule="atLeast"/>
        </w:trPr>
        <w:tc>
          <w:tcPr>
            <w:tcW w:w="4013" w:type="dxa"/>
            <w:tcBorders/>
            <w:vAlign w:val="center"/>
          </w:tcPr>
          <w:p>
            <w:pPr>
              <w:pStyle w:val="TableContents"/>
              <w:bidi w:val="0"/>
              <w:spacing w:before="0" w:after="283"/>
              <w:jc w:val="left"/>
              <w:rPr>
                <w:sz w:val="4"/>
                <w:szCs w:val="4"/>
              </w:rPr>
            </w:pPr>
            <w:r>
              <w:rPr>
                <w:sz w:val="4"/>
                <w:szCs w:val="4"/>
              </w:rPr>
            </w:r>
          </w:p>
        </w:tc>
        <w:tc>
          <w:tcPr>
            <w:tcW w:w="1607" w:type="dxa"/>
            <w:gridSpan w:val="4"/>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13" w:type="dxa"/>
            <w:gridSpan w:val="4"/>
            <w:tcBorders/>
            <w:vAlign w:val="center"/>
          </w:tcPr>
          <w:p>
            <w:pPr>
              <w:pStyle w:val="TableContents"/>
              <w:bidi w:val="0"/>
              <w:spacing w:before="0" w:after="283"/>
              <w:jc w:val="left"/>
              <w:rPr>
                <w:sz w:val="4"/>
                <w:szCs w:val="4"/>
              </w:rPr>
            </w:pPr>
            <w:r>
              <w:rPr>
                <w:sz w:val="4"/>
                <w:szCs w:val="4"/>
              </w:rPr>
            </w:r>
          </w:p>
        </w:tc>
        <w:tc>
          <w:tcPr>
            <w:tcW w:w="1518" w:type="dxa"/>
            <w:gridSpan w:val="4"/>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center"/>
              <w:rPr>
                <w:rFonts w:ascii="Times New Roman" w:hAnsi="Times New Roman"/>
                <w:b/>
                <w:i/>
              </w:rPr>
            </w:pPr>
            <w:r>
              <w:rPr>
                <w:rFonts w:ascii="Times New Roman" w:hAnsi="Times New Roman"/>
                <w:b/>
                <w:i/>
              </w:rPr>
              <w: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center"/>
              <w:rPr>
                <w:rFonts w:ascii="Times New Roman" w:hAnsi="Times New Roman"/>
                <w:b/>
                <w:i/>
              </w:rPr>
            </w:pPr>
            <w:r>
              <w:rPr>
                <w:rFonts w:ascii="Times New Roman" w:hAnsi="Times New Roman"/>
                <w:b/>
                <w:i/>
              </w:rPr>
              <w: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23" w:type="dxa"/>
            <w:gridSpan w:val="2"/>
            <w:tcBorders/>
            <w:vAlign w:val="bottom"/>
          </w:tcPr>
          <w:p>
            <w:pPr>
              <w:pStyle w:val="TableContents"/>
              <w:bidi w:val="0"/>
              <w:spacing w:before="0" w:after="283"/>
              <w:jc w:val="center"/>
              <w:rPr>
                <w:rFonts w:ascii="Times New Roman" w:hAnsi="Times New Roman"/>
                <w:b/>
                <w:i/>
              </w:rPr>
            </w:pPr>
            <w:r>
              <w:rPr>
                <w:rFonts w:ascii="Times New Roman" w:hAnsi="Times New Roman"/>
                <w:b/>
                <w:i/>
              </w:rPr>
              <w: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22" w:type="dxa"/>
            <w:gridSpan w:val="2"/>
            <w:tcBorders/>
            <w:vAlign w:val="bottom"/>
          </w:tcPr>
          <w:p>
            <w:pPr>
              <w:pStyle w:val="TableContents"/>
              <w:bidi w:val="0"/>
              <w:spacing w:before="0" w:after="283"/>
              <w:jc w:val="center"/>
              <w:rPr>
                <w:rFonts w:ascii="Times New Roman" w:hAnsi="Times New Roman"/>
                <w:b/>
                <w:i/>
              </w:rPr>
            </w:pPr>
            <w:r>
              <w:rPr>
                <w:rFonts w:ascii="Times New Roman" w:hAnsi="Times New Roman"/>
                <w:b/>
                <w:i/>
              </w:rPr>
              <w:t>£</w:t>
            </w:r>
          </w:p>
        </w:tc>
        <w:tc>
          <w:tcPr>
            <w:tcW w:w="161"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(1,736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(729</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(12,737</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(18,017</w:t>
            </w:r>
          </w:p>
        </w:tc>
        <w:tc>
          <w:tcPr>
            <w:tcW w:w="16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expenses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rPr>
            </w:pPr>
            <w:r>
              <w:rPr>
                <w:rFonts w:ascii="Times New Roman" w:hAnsi="Times New Roman"/>
              </w:rPr>
              <w:t>(1,107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rPr>
            </w:pPr>
            <w:r>
              <w:rPr>
                <w:rFonts w:ascii="Times New Roman" w:hAnsi="Times New Roman"/>
              </w:rPr>
              <w:t>(540</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rFonts w:ascii="Times New Roman" w:hAnsi="Times New Roman"/>
              </w:rPr>
            </w:pPr>
            <w:r>
              <w:rPr>
                <w:rFonts w:ascii="Times New Roman" w:hAnsi="Times New Roman"/>
              </w:rPr>
              <w:t>(8,096</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rFonts w:ascii="Times New Roman" w:hAnsi="Times New Roman"/>
              </w:rPr>
            </w:pPr>
            <w:r>
              <w:rPr>
                <w:rFonts w:ascii="Times New Roman" w:hAnsi="Times New Roman"/>
              </w:rPr>
              <w:t>(4,988</w:t>
            </w:r>
          </w:p>
        </w:tc>
        <w:tc>
          <w:tcPr>
            <w:tcW w:w="161"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(33</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(33</w:t>
            </w:r>
          </w:p>
        </w:tc>
        <w:tc>
          <w:tcPr>
            <w:tcW w:w="16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rFonts w:ascii="Times New Roman" w:hAnsi="Times New Roman"/>
              </w:rPr>
            </w:pPr>
            <w:r>
              <w:rPr>
                <w:rFonts w:ascii="Times New Roman" w:hAnsi="Times New Roman"/>
              </w:rPr>
              <w:t>841</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foreign exchange gains (losses)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43</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437</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(118</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229</w:t>
            </w:r>
          </w:p>
        </w:tc>
        <w:tc>
          <w:tcPr>
            <w:tcW w:w="161"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b/>
              </w:rPr>
            </w:pPr>
            <w:r>
              <w:rPr>
                <w:rFonts w:ascii="Times New Roman" w:hAnsi="Times New Roman"/>
                <w:b/>
              </w:rPr>
              <w:t>(2,800</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b/>
              </w:rPr>
            </w:pPr>
            <w:r>
              <w:rPr>
                <w:rFonts w:ascii="Times New Roman" w:hAnsi="Times New Roman"/>
                <w:b/>
              </w:rPr>
              <w:t>(865</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rFonts w:ascii="Times New Roman" w:hAnsi="Times New Roman"/>
                <w:b/>
              </w:rPr>
            </w:pPr>
            <w:r>
              <w:rPr>
                <w:rFonts w:ascii="Times New Roman" w:hAnsi="Times New Roman"/>
                <w:b/>
              </w:rPr>
              <w:t>(20,110</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rFonts w:ascii="Times New Roman" w:hAnsi="Times New Roman"/>
                <w:b/>
              </w:rPr>
            </w:pPr>
            <w:r>
              <w:rPr>
                <w:rFonts w:ascii="Times New Roman" w:hAnsi="Times New Roman"/>
                <w:b/>
              </w:rPr>
              <w:t>(22,809</w:t>
            </w:r>
          </w:p>
        </w:tc>
        <w:tc>
          <w:tcPr>
            <w:tcW w:w="161"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1,851</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rPr>
            </w:pPr>
            <w:r>
              <w:rPr>
                <w:rFonts w:ascii="Times New Roman" w:hAnsi="Times New Roman"/>
              </w:rPr>
              <w:t>173</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rPr>
            </w:pPr>
            <w:r>
              <w:rPr>
                <w:rFonts w:ascii="Times New Roman" w:hAnsi="Times New Roman"/>
              </w:rPr>
              <w:t>75</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rFonts w:ascii="Times New Roman" w:hAnsi="Times New Roman"/>
              </w:rPr>
            </w:pPr>
            <w:r>
              <w:rPr>
                <w:rFonts w:ascii="Times New Roman" w:hAnsi="Times New Roman"/>
              </w:rPr>
              <w:t>386</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rFonts w:ascii="Times New Roman" w:hAnsi="Times New Roman"/>
              </w:rPr>
            </w:pPr>
            <w:r>
              <w:rPr>
                <w:rFonts w:ascii="Times New Roman" w:hAnsi="Times New Roman"/>
              </w:rPr>
              <w:t>358</w:t>
            </w:r>
          </w:p>
        </w:tc>
        <w:tc>
          <w:tcPr>
            <w:tcW w:w="161"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(12,648</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tax</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b/>
              </w:rPr>
            </w:pPr>
            <w:r>
              <w:rPr>
                <w:rFonts w:ascii="Times New Roman" w:hAnsi="Times New Roman"/>
                <w:b/>
              </w:rPr>
              <w:t>(2,627</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b/>
              </w:rPr>
            </w:pPr>
            <w:r>
              <w:rPr>
                <w:rFonts w:ascii="Times New Roman" w:hAnsi="Times New Roman"/>
                <w:b/>
              </w:rPr>
              <w:t>(790</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rFonts w:ascii="Times New Roman" w:hAnsi="Times New Roman"/>
                <w:b/>
              </w:rPr>
            </w:pPr>
            <w:r>
              <w:rPr>
                <w:rFonts w:ascii="Times New Roman" w:hAnsi="Times New Roman"/>
                <w:b/>
              </w:rPr>
              <w:t>(30,521</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rFonts w:ascii="Times New Roman" w:hAnsi="Times New Roman"/>
                <w:b/>
              </w:rPr>
            </w:pPr>
            <w:r>
              <w:rPr>
                <w:rFonts w:ascii="Times New Roman" w:hAnsi="Times New Roman"/>
                <w:b/>
              </w:rPr>
              <w:t>(22,451</w:t>
            </w:r>
          </w:p>
        </w:tc>
        <w:tc>
          <w:tcPr>
            <w:tcW w:w="161"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142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137</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1,168</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3,454</w:t>
            </w:r>
          </w:p>
        </w:tc>
        <w:tc>
          <w:tcPr>
            <w:tcW w:w="161"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 attributable to equity holders of the Company</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b/>
              </w:rPr>
            </w:pPr>
            <w:r>
              <w:rPr>
                <w:rFonts w:ascii="Times New Roman" w:hAnsi="Times New Roman"/>
                <w:b/>
              </w:rPr>
              <w:t>(2,485</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rFonts w:ascii="Times New Roman" w:hAnsi="Times New Roman"/>
                <w:b/>
              </w:rPr>
            </w:pPr>
            <w:r>
              <w:rPr>
                <w:rFonts w:ascii="Times New Roman" w:hAnsi="Times New Roman"/>
                <w:b/>
              </w:rPr>
              <w:t>(653</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rFonts w:ascii="Times New Roman" w:hAnsi="Times New Roman"/>
                <w:b/>
              </w:rPr>
            </w:pPr>
            <w:r>
              <w:rPr>
                <w:rFonts w:ascii="Times New Roman" w:hAnsi="Times New Roman"/>
                <w:b/>
              </w:rPr>
              <w:t>(29,353</w:t>
            </w:r>
          </w:p>
        </w:tc>
        <w:tc>
          <w:tcPr>
            <w:tcW w:w="155"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rFonts w:ascii="Times New Roman" w:hAnsi="Times New Roman"/>
                <w:b/>
              </w:rPr>
            </w:pPr>
            <w:r>
              <w:rPr>
                <w:rFonts w:ascii="Times New Roman" w:hAnsi="Times New Roman"/>
                <w:b/>
              </w:rPr>
              <w:t>(18,997</w:t>
            </w:r>
          </w:p>
        </w:tc>
        <w:tc>
          <w:tcPr>
            <w:tcW w:w="161" w:type="dxa"/>
            <w:tcBorders/>
            <w:vAlign w:val="bottom"/>
          </w:tcPr>
          <w:p>
            <w:pPr>
              <w:pStyle w:val="TableContents"/>
              <w:bidi w:val="0"/>
              <w:spacing w:before="0" w:after="283"/>
              <w:jc w:val="left"/>
              <w:rPr>
                <w:rFonts w:ascii="Times New Roman" w:hAnsi="Times New Roman"/>
                <w:b/>
              </w:rPr>
            </w:pPr>
            <w:r>
              <w:rPr>
                <w:rFonts w:ascii="Times New Roman" w:hAnsi="Times New Roman"/>
                <w:b/>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loss per ordinary share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(0.26</w:t>
            </w:r>
          </w:p>
        </w:tc>
        <w:tc>
          <w:tcPr>
            <w:tcW w:w="16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Statements of Financial Position As At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8"/>
        <w:gridCol w:w="230"/>
        <w:gridCol w:w="90"/>
        <w:gridCol w:w="1339"/>
        <w:gridCol w:w="155"/>
        <w:gridCol w:w="186"/>
        <w:gridCol w:w="90"/>
        <w:gridCol w:w="1339"/>
        <w:gridCol w:w="158"/>
      </w:tblGrid>
      <w:tr>
        <w:trPr/>
        <w:tc>
          <w:tcPr>
            <w:tcW w:w="661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3199" w:type="dxa"/>
            <w:gridSpan w:val="6"/>
            <w:tcBorders/>
            <w:vAlign w:val="bottom"/>
          </w:tcPr>
          <w:p>
            <w:pPr>
              <w:pStyle w:val="TableContents"/>
              <w:bidi w:val="0"/>
              <w:spacing w:before="0" w:after="283"/>
              <w:jc w:val="center"/>
              <w:rPr>
                <w:b/>
              </w:rPr>
            </w:pPr>
            <w:r>
              <w:rPr>
                <w:b/>
              </w:rPr>
              <w:t>(in thousands)</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29" w:type="dxa"/>
            <w:gridSpan w:val="2"/>
            <w:tcBorders/>
            <w:vAlign w:val="bottom"/>
          </w:tcPr>
          <w:p>
            <w:pPr>
              <w:pStyle w:val="TableContents"/>
              <w:bidi w:val="0"/>
              <w:spacing w:before="0" w:after="283"/>
              <w:jc w:val="center"/>
              <w:rPr>
                <w:b/>
                <w:i/>
              </w:rPr>
            </w:pPr>
            <w:r>
              <w:rPr>
                <w:b/>
                <w:i/>
              </w:rPr>
              <w:t>£</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29" w:type="dxa"/>
            <w:gridSpan w:val="2"/>
            <w:tcBorders/>
            <w:vAlign w:val="bottom"/>
          </w:tcPr>
          <w:p>
            <w:pPr>
              <w:pStyle w:val="TableContents"/>
              <w:bidi w:val="0"/>
              <w:spacing w:before="0" w:after="283"/>
              <w:jc w:val="center"/>
              <w:rPr>
                <w:b/>
                <w:i/>
              </w:rPr>
            </w:pPr>
            <w:r>
              <w:rPr>
                <w:b/>
                <w:i/>
              </w:rPr>
              <w:t>£</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2,198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2,199</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658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197</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113</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2,973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2,509</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accrued income and other receivables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849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922</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income tax receivable</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1,761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4,594</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24,251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6,749</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b/>
              </w:rPr>
            </w:pPr>
            <w:r>
              <w:rPr>
                <w:b/>
              </w:rPr>
              <w:t>26,861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b/>
              </w:rPr>
            </w:pPr>
            <w:r>
              <w:rPr>
                <w:b/>
              </w:rPr>
              <w:t>12,265</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29,834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14,774</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 and reserves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 and share premium</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189,586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151,827</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87,075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78,421</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(252,334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(224,294</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attributable to equity holders of the Company</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24,327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5,954</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37</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117</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714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154</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522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2,705</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taxes and social security</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134</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expenditure</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4,152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5,714</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73</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b/>
              </w:rPr>
            </w:pPr>
            <w:r>
              <w:rPr>
                <w:b/>
              </w:rPr>
              <w:t>4,793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b/>
              </w:rPr>
            </w:pPr>
            <w:r>
              <w:rPr>
                <w:b/>
              </w:rPr>
              <w:t>8,666</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5,507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b/>
              </w:rPr>
            </w:pPr>
            <w:r>
              <w:rPr>
                <w:b/>
              </w:rPr>
              <w:t>8,820</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23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b/>
              </w:rPr>
            </w:pPr>
            <w:r>
              <w:rPr>
                <w:b/>
              </w:rPr>
              <w:t>29,834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b/>
              </w:rPr>
            </w:pPr>
            <w:r>
              <w:rPr>
                <w:b/>
              </w:rPr>
              <w:t>14,774</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2"/>
        <w:gridCol w:w="156"/>
        <w:gridCol w:w="67"/>
        <w:gridCol w:w="853"/>
        <w:gridCol w:w="174"/>
        <w:gridCol w:w="123"/>
        <w:gridCol w:w="67"/>
        <w:gridCol w:w="855"/>
        <w:gridCol w:w="158"/>
      </w:tblGrid>
      <w:tr>
        <w:trPr/>
        <w:tc>
          <w:tcPr>
            <w:tcW w:w="775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5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139" w:type="dxa"/>
            <w:gridSpan w:val="6"/>
            <w:tcBorders/>
            <w:vAlign w:val="bottom"/>
          </w:tcPr>
          <w:p>
            <w:pPr>
              <w:pStyle w:val="TableContents"/>
              <w:bidi w:val="0"/>
              <w:spacing w:before="0" w:after="283"/>
              <w:jc w:val="center"/>
              <w:rPr>
                <w:b/>
              </w:rPr>
            </w:pPr>
            <w:r>
              <w:rPr>
                <w:b/>
              </w:rPr>
              <w:t>For the Year Ended</w:t>
              <w:br/>
              <w:t>December 31,</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139" w:type="dxa"/>
            <w:gridSpan w:val="6"/>
            <w:tcBorders/>
            <w:vAlign w:val="bottom"/>
          </w:tcPr>
          <w:p>
            <w:pPr>
              <w:pStyle w:val="TableContents"/>
              <w:bidi w:val="0"/>
              <w:spacing w:before="0" w:after="283"/>
              <w:jc w:val="center"/>
              <w:rPr>
                <w:b/>
              </w:rPr>
            </w:pPr>
            <w:r>
              <w:rPr>
                <w:b/>
              </w:rPr>
              <w:t>(in thousands)</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center"/>
              <w:rPr>
                <w:b/>
                <w:i/>
              </w:rPr>
            </w:pPr>
            <w:r>
              <w:rPr>
                <w:b/>
                <w:i/>
              </w:rPr>
              <w:t>£</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22" w:type="dxa"/>
            <w:gridSpan w:val="2"/>
            <w:tcBorders/>
            <w:vAlign w:val="bottom"/>
          </w:tcPr>
          <w:p>
            <w:pPr>
              <w:pStyle w:val="TableContents"/>
              <w:bidi w:val="0"/>
              <w:spacing w:before="0" w:after="283"/>
              <w:jc w:val="center"/>
              <w:rPr>
                <w:b/>
                <w:i/>
              </w:rPr>
            </w:pPr>
            <w:r>
              <w:rPr>
                <w:b/>
                <w:i/>
              </w:rPr>
              <w:t>£</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(29,353</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(18,997</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(1,168</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(3,454</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and depreciation</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274</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522</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33</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Movement in provisions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(40</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(386</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(358</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12,648</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on lease liabilities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17</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10,028</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1,646</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Net foreign exchange losses (gains)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194</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(369</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(7,783</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(20,950</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Movements in working capital:</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prepayments, accrued income and other receivables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109</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1,737</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trade payables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(2,183</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(670</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payroll taxes, social security and accrued expenditure</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(1,598</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(3,250</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Movements in working capital</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(3,672</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(2,183</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used in operations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(11,455</w:t>
            </w:r>
          </w:p>
        </w:tc>
        <w:tc>
          <w:tcPr>
            <w:tcW w:w="174" w:type="dxa"/>
            <w:tcBorders/>
            <w:shd w:fill="CCEEFF" w:val="clear"/>
            <w:vAlign w:val="bottom"/>
          </w:tcPr>
          <w:p>
            <w:pPr>
              <w:pStyle w:val="TableContents"/>
              <w:bidi w:val="0"/>
              <w:spacing w:before="0" w:after="283"/>
              <w:jc w:val="left"/>
              <w:rPr>
                <w:b/>
              </w:rPr>
            </w:pPr>
            <w:r>
              <w:rPr>
                <w:b/>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b/>
              </w:rPr>
            </w:pPr>
            <w:r>
              <w:rPr>
                <w:b/>
              </w:rPr>
              <w:t>(23,133</w:t>
            </w:r>
          </w:p>
        </w:tc>
        <w:tc>
          <w:tcPr>
            <w:tcW w:w="158" w:type="dxa"/>
            <w:tcBorders/>
            <w:shd w:fill="CCEEFF" w:val="clear"/>
            <w:vAlign w:val="bottom"/>
          </w:tcPr>
          <w:p>
            <w:pPr>
              <w:pStyle w:val="TableContents"/>
              <w:bidi w:val="0"/>
              <w:spacing w:before="0" w:after="283"/>
              <w:jc w:val="left"/>
              <w:rPr>
                <w:b/>
              </w:rPr>
            </w:pPr>
            <w:r>
              <w:rPr>
                <w:b/>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tax received</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3,988</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4,015</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(7,467</w:t>
            </w:r>
          </w:p>
        </w:tc>
        <w:tc>
          <w:tcPr>
            <w:tcW w:w="174" w:type="dxa"/>
            <w:tcBorders/>
            <w:shd w:fill="CCEEFF" w:val="clear"/>
            <w:vAlign w:val="bottom"/>
          </w:tcPr>
          <w:p>
            <w:pPr>
              <w:pStyle w:val="TableContents"/>
              <w:bidi w:val="0"/>
              <w:spacing w:before="0" w:after="283"/>
              <w:jc w:val="left"/>
              <w:rPr>
                <w:b/>
              </w:rPr>
            </w:pPr>
            <w:r>
              <w:rPr>
                <w:b/>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b/>
              </w:rPr>
            </w:pPr>
            <w:r>
              <w:rPr>
                <w:b/>
              </w:rPr>
              <w:t>(19,118</w:t>
            </w:r>
          </w:p>
        </w:tc>
        <w:tc>
          <w:tcPr>
            <w:tcW w:w="158" w:type="dxa"/>
            <w:tcBorders/>
            <w:shd w:fill="CCEEFF" w:val="clear"/>
            <w:vAlign w:val="bottom"/>
          </w:tcPr>
          <w:p>
            <w:pPr>
              <w:pStyle w:val="TableContents"/>
              <w:bidi w:val="0"/>
              <w:spacing w:before="0" w:after="283"/>
              <w:jc w:val="left"/>
              <w:rPr>
                <w:b/>
              </w:rPr>
            </w:pPr>
            <w:r>
              <w:rPr>
                <w:b/>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5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352</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372</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property, plant and equipment</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intangible assets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(193</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(289</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from investing activities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b/>
              </w:rPr>
            </w:pPr>
            <w:r>
              <w:rPr>
                <w:b/>
              </w:rPr>
              <w:t>159</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b/>
              </w:rPr>
            </w:pPr>
            <w:r>
              <w:rPr>
                <w:b/>
              </w:rPr>
              <w:t>79</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lease liabilities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(54</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(223</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share options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7</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issue of share capital</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20,185</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8,729</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warrants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4,436</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issue of warrants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4,439</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cancellation of warrants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(2,655</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Share issue expenses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(1,346</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(329</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from financing activities</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25,006</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b/>
              </w:rPr>
            </w:pPr>
            <w:r>
              <w:rPr>
                <w:b/>
              </w:rPr>
              <w:t>8,184</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17,698</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(10,855</w:t>
            </w:r>
          </w:p>
        </w:tc>
        <w:tc>
          <w:tcPr>
            <w:tcW w:w="158" w:type="dxa"/>
            <w:tcBorders/>
            <w:vAlign w:val="bottom"/>
          </w:tcPr>
          <w:p>
            <w:pPr>
              <w:pStyle w:val="TableContents"/>
              <w:bidi w:val="0"/>
              <w:spacing w:before="0" w:after="283"/>
              <w:jc w:val="left"/>
              <w:rPr/>
            </w:pPr>
            <w:r>
              <w:rPr/>
              <w:t>) </w:t>
            </w:r>
          </w:p>
        </w:tc>
      </w:tr>
      <w:tr>
        <w:trPr/>
        <w:tc>
          <w:tcPr>
            <w:tcW w:w="77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beginning of period</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6,749</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b/>
              </w:rPr>
            </w:pPr>
            <w:r>
              <w:rPr>
                <w:b/>
              </w:rPr>
              <w:t>17,225</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(196</w:t>
            </w:r>
          </w:p>
        </w:tc>
        <w:tc>
          <w:tcPr>
            <w:tcW w:w="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379</w:t>
            </w:r>
          </w:p>
        </w:tc>
        <w:tc>
          <w:tcPr>
            <w:tcW w:w="158" w:type="dxa"/>
            <w:tcBorders/>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15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24,251</w:t>
            </w:r>
          </w:p>
        </w:tc>
        <w:tc>
          <w:tcPr>
            <w:tcW w:w="174"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b/>
              </w:rPr>
            </w:pPr>
            <w:r>
              <w:rPr>
                <w:b/>
              </w:rPr>
              <w:t>6,749</w:t>
            </w:r>
          </w:p>
        </w:tc>
        <w:tc>
          <w:tcPr>
            <w:tcW w:w="158" w:type="dxa"/>
            <w:tcBorders/>
            <w:shd w:fill="CCEEFF" w:val="clear"/>
            <w:vAlign w:val="bottom"/>
          </w:tcPr>
          <w:p>
            <w:pPr>
              <w:pStyle w:val="TableContents"/>
              <w:bidi w:val="0"/>
              <w:spacing w:before="0" w:after="283"/>
              <w:jc w:val="left"/>
              <w:rPr/>
            </w:pPr>
            <w:r>
              <w:rPr/>
              <w:t> </w:t>
            </w:r>
          </w:p>
        </w:tc>
      </w:tr>
      <w:tr>
        <w:trPr/>
        <w:tc>
          <w:tcPr>
            <w:tcW w:w="77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NuCana plc </w:t>
      </w:r>
    </w:p>
    <w:p>
      <w:pPr>
        <w:pStyle w:val="TextBody"/>
        <w:bidi w:val="0"/>
        <w:spacing w:before="0" w:after="0"/>
        <w:jc w:val="left"/>
        <w:rPr>
          <w:rFonts w:ascii="Times New Roman" w:hAnsi="Times New Roman"/>
          <w:sz w:val="20"/>
        </w:rPr>
      </w:pPr>
      <w:r>
        <w:rPr>
          <w:rFonts w:ascii="Times New Roman" w:hAnsi="Times New Roman"/>
          <w:sz w:val="20"/>
        </w:rPr>
        <w:t xml:space="preserve">Hugh S. Griffith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+44 131-357-1111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info@nucana.com </w:t>
      </w:r>
    </w:p>
    <w:p>
      <w:pPr>
        <w:pStyle w:val="TextBody"/>
        <w:bidi w:val="0"/>
        <w:spacing w:before="24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Chris Brinzey </w:t>
      </w:r>
    </w:p>
    <w:p>
      <w:pPr>
        <w:pStyle w:val="TextBody"/>
        <w:bidi w:val="0"/>
        <w:spacing w:before="0" w:after="0"/>
        <w:jc w:val="left"/>
        <w:rPr>
          <w:rFonts w:ascii="Times New Roman" w:hAnsi="Times New Roman"/>
          <w:sz w:val="20"/>
        </w:rPr>
      </w:pPr>
      <w:r>
        <w:rPr>
          <w:rFonts w:ascii="Times New Roman" w:hAnsi="Times New Roman"/>
          <w:sz w:val="20"/>
        </w:rPr>
        <w:t xml:space="preserve">+1 339-970-2843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Chris.Brinzey@ICRHealthcare.com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2390</Words>
  <Characters>13235</Characters>
  <CharactersWithSpaces>16405</CharactersWithSpaces>
  <Paragraphs>1273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